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D39714" w14:textId="77777777" w:rsidR="00B0334F" w:rsidRDefault="001C1FEF" w:rsidP="002E256E">
      <w:pPr>
        <w:tabs>
          <w:tab w:val="left" w:pos="1029"/>
        </w:tabs>
        <w:bidi/>
        <w:spacing w:before="100" w:beforeAutospacing="1" w:after="120"/>
        <w:rPr>
          <w:rStyle w:val="Heading1Char"/>
          <w:rFonts w:ascii="Acumin Pro" w:hAnsi="Acumin Pro" w:cs="Acumin Pro"/>
          <w:color w:val="00908B"/>
          <w:sz w:val="66"/>
          <w:szCs w:val="66"/>
          <w:rtl/>
        </w:rPr>
      </w:pPr>
      <w:r>
        <w:rPr>
          <w:rFonts w:ascii="Acumin Pro" w:hAnsi="Acumin Pro" w:cs="Acumin Pro"/>
          <w:b/>
          <w:bCs/>
          <w:noProof/>
          <w:color w:val="00908B"/>
          <w:kern w:val="32"/>
          <w:sz w:val="48"/>
          <w:szCs w:val="48"/>
          <w:rtl/>
        </w:rPr>
        <w:drawing>
          <wp:anchor distT="0" distB="0" distL="114300" distR="114300" simplePos="0" relativeHeight="251658244" behindDoc="1" locked="0" layoutInCell="1" allowOverlap="1" wp14:anchorId="3E95CC6F" wp14:editId="08B5443B">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hAnsi="Acumin Pro" w:cs="Acumin Pro"/>
          <w:color w:val="00908B"/>
          <w:sz w:val="48"/>
          <w:szCs w:val="48"/>
          <w:rtl/>
        </w:rPr>
        <w:tab/>
      </w:r>
      <w:r w:rsidR="00782BA3">
        <w:rPr>
          <w:rStyle w:val="Heading1Char"/>
          <w:rFonts w:ascii="Acumin Pro" w:hAnsi="Acumin Pro" w:cs="Acumin Pro"/>
          <w:color w:val="00908B"/>
          <w:sz w:val="48"/>
          <w:szCs w:val="48"/>
          <w:rtl/>
        </w:rPr>
        <w:br/>
      </w:r>
      <w:r w:rsidR="00782BA3">
        <w:rPr>
          <w:rStyle w:val="Heading1Char"/>
          <w:rFonts w:ascii="Acumin Pro" w:hAnsi="Acumin Pro" w:cs="Acumin Pro"/>
          <w:color w:val="00908B"/>
          <w:sz w:val="62"/>
          <w:szCs w:val="62"/>
          <w:rtl/>
        </w:rPr>
        <w:br/>
      </w:r>
      <w:r w:rsidRPr="002E256E">
        <w:rPr>
          <w:rStyle w:val="Heading1Char"/>
          <w:rFonts w:ascii="Acumin Pro" w:hAnsi="Acumin Pro" w:cs="Acumin Pro"/>
          <w:color w:val="00908B"/>
          <w:sz w:val="66"/>
          <w:szCs w:val="66"/>
          <w:rtl/>
        </w:rPr>
        <w:t>التدخل الأجنبي يضر بحقوق وحريات</w:t>
      </w:r>
    </w:p>
    <w:p w14:paraId="003EB3DC" w14:textId="515DA6C4" w:rsidR="0011154D" w:rsidRPr="002E256E" w:rsidRDefault="001C1FEF" w:rsidP="00B0334F">
      <w:pPr>
        <w:tabs>
          <w:tab w:val="left" w:pos="1029"/>
        </w:tabs>
        <w:bidi/>
        <w:spacing w:before="100" w:beforeAutospacing="1" w:after="120"/>
        <w:rPr>
          <w:rFonts w:ascii="Acumin Pro" w:hAnsi="Acumin Pro" w:cs="Acumin Pro"/>
          <w:b/>
          <w:bCs/>
          <w:color w:val="00908B"/>
          <w:kern w:val="32"/>
          <w:sz w:val="66"/>
          <w:szCs w:val="66"/>
        </w:rPr>
      </w:pPr>
      <w:r w:rsidRPr="002E256E">
        <w:rPr>
          <w:rStyle w:val="Heading1Char"/>
          <w:rFonts w:ascii="Acumin Pro" w:hAnsi="Acumin Pro" w:cs="Acumin Pro"/>
          <w:color w:val="00908B"/>
          <w:sz w:val="66"/>
          <w:szCs w:val="66"/>
          <w:rtl/>
        </w:rPr>
        <w:t xml:space="preserve"> المواطنين في نيوزيلندا</w:t>
      </w:r>
    </w:p>
    <w:p w14:paraId="731D26E5" w14:textId="173BBA4A" w:rsidR="001E1F6B" w:rsidRPr="009B236A" w:rsidRDefault="00701A9B" w:rsidP="002E256E">
      <w:pPr>
        <w:bidi/>
        <w:rPr>
          <w:rFonts w:ascii="Acumin Pro" w:hAnsi="Acumin Pro" w:cs="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62AE820C">
                <wp:simplePos x="0" y="0"/>
                <wp:positionH relativeFrom="margin">
                  <wp:align>center</wp:align>
                </wp:positionH>
                <wp:positionV relativeFrom="paragraph">
                  <wp:posOffset>355742</wp:posOffset>
                </wp:positionV>
                <wp:extent cx="5978525" cy="2320925"/>
                <wp:effectExtent l="19050" t="19050" r="41275" b="41275"/>
                <wp:wrapNone/>
                <wp:docPr id="1983189020" name="Rectangle: Diagonal Corners Rounded 2"/>
                <wp:cNvGraphicFramePr/>
                <a:graphic xmlns:a="http://schemas.openxmlformats.org/drawingml/2006/main">
                  <a:graphicData uri="http://schemas.microsoft.com/office/word/2010/wordprocessingShape">
                    <wps:wsp>
                      <wps:cNvSpPr/>
                      <wps:spPr>
                        <a:xfrm>
                          <a:off x="775406" y="3371850"/>
                          <a:ext cx="5978525" cy="232092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4906938E" w:rsidR="00701A9B" w:rsidRPr="002E256E" w:rsidRDefault="00701A9B" w:rsidP="00701A9B">
                            <w:pPr>
                              <w:bidi/>
                              <w:spacing w:line="276" w:lineRule="auto"/>
                              <w:rPr>
                                <w:rFonts w:ascii="Acumin Pro" w:hAnsi="Acumin Pro" w:cs="Acumin Pro"/>
                                <w:color w:val="000000" w:themeColor="text1"/>
                                <w:sz w:val="26"/>
                                <w:szCs w:val="26"/>
                              </w:rPr>
                            </w:pPr>
                            <w:r w:rsidRPr="002E256E">
                              <w:rPr>
                                <w:rFonts w:ascii="Acumin Pro" w:hAnsi="Acumin Pro" w:cs="Acumin Pro"/>
                                <w:b/>
                                <w:bCs/>
                                <w:color w:val="000000" w:themeColor="text1"/>
                                <w:sz w:val="26"/>
                                <w:szCs w:val="26"/>
                                <w:rtl/>
                              </w:rPr>
                              <w:t>يعرّف جهاز الأمن والاستخبارات النيوزيلندي</w:t>
                            </w:r>
                            <w:r w:rsidRPr="002E256E">
                              <w:rPr>
                                <w:rFonts w:ascii="Acumin Pro" w:hAnsi="Acumin Pro" w:cs="Acumin Pro"/>
                                <w:b/>
                                <w:bCs/>
                                <w:color w:val="000000" w:themeColor="text1"/>
                                <w:rtl/>
                              </w:rPr>
                              <w:t xml:space="preserve"> (NZSIS)</w:t>
                            </w:r>
                            <w:r w:rsidRPr="002E256E">
                              <w:rPr>
                                <w:rFonts w:ascii="Acumin Pro" w:hAnsi="Acumin Pro" w:cs="Acumin Pro"/>
                                <w:color w:val="000000" w:themeColor="text1"/>
                                <w:sz w:val="26"/>
                                <w:szCs w:val="26"/>
                                <w:rtl/>
                              </w:rPr>
                              <w:t xml:space="preserve"> التدخل الأجنبي على أنه فعل تمارسه دولة أجنبية أو من يمثلها، بهدف التأثير على المصالح الوطنية النيوزيلندية أو تعطيلها أو تقويضها بوسائل سرية أو خادعة أو تهديدية. ولا تعد النشاطات الدبلوماسية الاعتيادية، وممارسة الضغوط، وغيرها من الجهود الحقيقية العلنية لكسب النفوذ، نوعاً من أنواع التدخل.</w:t>
                            </w:r>
                            <w:r w:rsidRPr="002E256E">
                              <w:rPr>
                                <w:rFonts w:ascii="Acumin Pro" w:hAnsi="Acumin Pro" w:cs="Acumin Pro"/>
                                <w:color w:val="000000" w:themeColor="text1"/>
                                <w:sz w:val="26"/>
                                <w:szCs w:val="26"/>
                                <w:rtl/>
                              </w:rPr>
                              <w:br/>
                            </w:r>
                            <w:r w:rsidRPr="002E256E">
                              <w:rPr>
                                <w:rFonts w:ascii="Acumin Pro" w:hAnsi="Acumin Pro" w:cs="Acumin Pro"/>
                                <w:color w:val="000000" w:themeColor="text1"/>
                                <w:sz w:val="26"/>
                                <w:szCs w:val="26"/>
                                <w:rtl/>
                              </w:rPr>
                              <w:br/>
                              <w:t>ويُشار بـ "الدولة الأجنبية" في صفحة المعلوات هذه</w:t>
                            </w:r>
                            <w:r w:rsidRPr="002E256E">
                              <w:rPr>
                                <w:rFonts w:ascii="Acumin Pro" w:hAnsi="Acumin Pro" w:cs="Acumin Pro"/>
                                <w:b/>
                                <w:bCs/>
                                <w:color w:val="000000" w:themeColor="text1"/>
                                <w:sz w:val="26"/>
                                <w:szCs w:val="26"/>
                                <w:rtl/>
                              </w:rPr>
                              <w:t xml:space="preserve"> إلى أية دولة غير نيوزيلندا</w:t>
                            </w:r>
                            <w:r w:rsidRPr="002E256E">
                              <w:rPr>
                                <w:rFonts w:ascii="Acumin Pro" w:hAnsi="Acumin Pro" w:cs="Acumin Pro"/>
                                <w:color w:val="000000" w:themeColor="text1"/>
                                <w:sz w:val="26"/>
                                <w:szCs w:val="26"/>
                                <w:rtl/>
                              </w:rPr>
                              <w:t>. ويُقصد بها أية دولة خارج نيوزيلندا.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left:0;text-align:left;margin-left:0;margin-top:28pt;width:470.75pt;height:182.7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32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" adj="-11796480,,5400" path="m334654,l5978525,r,l5978525,1986271v,184824,-149830,334654,-334654,334654l,2320925r,l,334654c,149830,149830,,334654,xe" fillcolor="#aed5da" strokecolor="#007472" strokeweight="4.5pt">
                <v:stroke joinstyle="miter"/>
                <v:formulas/>
                <v:path arrowok="t" o:connecttype="custom" o:connectlocs="334654,0;5978525,0;5978525,0;5978525,1986271;5643871,2320925;0,2320925;0,2320925;0,334654;334654,0" o:connectangles="0,0,0,0,0,0,0,0,0" textboxrect="0,0,5978525,2320925"/>
                <v:textbox>
                  <w:txbxContent>
                    <w:p w14:paraId="59187410" w14:textId="4906938E" w:rsidR="00701A9B" w:rsidRPr="002E256E" w:rsidRDefault="00701A9B" w:rsidP="00701A9B">
                      <w:pPr>
                        <w:bidi/>
                        <w:spacing w:line="276" w:lineRule="auto"/>
                        <w:rPr>
                          <w:rFonts w:ascii="Acumin Pro" w:hAnsi="Acumin Pro" w:cs="Acumin Pro"/>
                          <w:color w:val="000000" w:themeColor="text1"/>
                          <w:sz w:val="26"/>
                          <w:szCs w:val="26"/>
                          <w:lang/>
                        </w:rPr>
                      </w:pPr>
                      <w:r w:rsidRPr="002E256E">
                        <w:rPr>
                          <w:rFonts w:ascii="Acumin Pro" w:hAnsi="Acumin Pro" w:cs="Acumin Pro"/>
                          <w:b/>
                          <w:bCs/>
                          <w:color w:val="000000" w:themeColor="text1"/>
                          <w:sz w:val="26"/>
                          <w:szCs w:val="26"/>
                          <w:rtl/>
                        </w:rPr>
                        <w:t>يعرّف جهاز الأمن والاستخبارات النيوزيلندي</w:t>
                      </w:r>
                      <w:r w:rsidRPr="002E256E">
                        <w:rPr>
                          <w:rFonts w:ascii="Acumin Pro" w:hAnsi="Acumin Pro" w:cs="Acumin Pro"/>
                          <w:b/>
                          <w:bCs/>
                          <w:color w:val="000000" w:themeColor="text1"/>
                          <w:rtl/>
                        </w:rPr>
                        <w:t xml:space="preserve"> (NZSIS)</w:t>
                      </w:r>
                      <w:r w:rsidRPr="002E256E">
                        <w:rPr>
                          <w:rFonts w:ascii="Acumin Pro" w:hAnsi="Acumin Pro" w:cs="Acumin Pro"/>
                          <w:color w:val="000000" w:themeColor="text1"/>
                          <w:sz w:val="26"/>
                          <w:szCs w:val="26"/>
                          <w:rtl/>
                        </w:rPr>
                        <w:t xml:space="preserve"> التدخل الأجنبي على أنه فعل تمارسه دولة أجنبية أو من يمثلها، بهدف التأثير على المصالح الوطنية النيوزيلندية أو تعطيلها أو تقويضها بوسائل سرية أو خادعة أو تهديدية. ولا تعد النشاطات الدبلوماسية الاعتيادية، وممارسة الضغوط، وغيرها من الجهود الحقيقية العلنية لكسب النفوذ، نوعاً من أنواع التدخل.</w:t>
                      </w:r>
                      <w:r w:rsidRPr="002E256E">
                        <w:rPr>
                          <w:rFonts w:ascii="Acumin Pro" w:hAnsi="Acumin Pro" w:cs="Acumin Pro"/>
                          <w:color w:val="000000" w:themeColor="text1"/>
                          <w:sz w:val="26"/>
                          <w:szCs w:val="26"/>
                          <w:rtl/>
                        </w:rPr>
                        <w:br/>
                      </w:r>
                      <w:r w:rsidRPr="002E256E">
                        <w:rPr>
                          <w:rFonts w:ascii="Acumin Pro" w:hAnsi="Acumin Pro" w:cs="Acumin Pro"/>
                          <w:color w:val="000000" w:themeColor="text1"/>
                          <w:sz w:val="26"/>
                          <w:szCs w:val="26"/>
                          <w:rtl/>
                        </w:rPr>
                        <w:br/>
                        <w:t>ويُشار بـ "الدولة الأجنبية" في صفحة المعلوات هذه</w:t>
                      </w:r>
                      <w:r w:rsidRPr="002E256E">
                        <w:rPr>
                          <w:rFonts w:ascii="Acumin Pro" w:hAnsi="Acumin Pro" w:cs="Acumin Pro"/>
                          <w:b/>
                          <w:bCs/>
                          <w:color w:val="000000" w:themeColor="text1"/>
                          <w:sz w:val="26"/>
                          <w:szCs w:val="26"/>
                          <w:rtl/>
                        </w:rPr>
                        <w:t xml:space="preserve"> إلى أية دولة غير نيوزيلندا</w:t>
                      </w:r>
                      <w:r w:rsidRPr="002E256E">
                        <w:rPr>
                          <w:rFonts w:ascii="Acumin Pro" w:hAnsi="Acumin Pro" w:cs="Acumin Pro"/>
                          <w:color w:val="000000" w:themeColor="text1"/>
                          <w:sz w:val="26"/>
                          <w:szCs w:val="26"/>
                          <w:rtl/>
                        </w:rPr>
                        <w:t>. ويُقصد بها أية دولة خارج نيوزيلندا.</w:t>
                      </w:r>
                    </w:p>
                  </w:txbxContent>
                </v:textbox>
                <w10:wrap anchorx="margin"/>
              </v:shape>
            </w:pict>
          </mc:Fallback>
        </mc:AlternateContent>
      </w:r>
    </w:p>
    <w:p w14:paraId="20895EE5" w14:textId="6E6E4436" w:rsidR="001A7A32" w:rsidRDefault="001A7A32" w:rsidP="002E256E">
      <w:pPr>
        <w:bidi/>
        <w:spacing w:after="180"/>
        <w:rPr>
          <w:b/>
          <w:bCs/>
          <w:sz w:val="22"/>
          <w:szCs w:val="22"/>
        </w:rPr>
      </w:pPr>
    </w:p>
    <w:p w14:paraId="0759125B" w14:textId="408E7D32" w:rsidR="00E6621C" w:rsidRDefault="00E6621C" w:rsidP="002E256E">
      <w:pPr>
        <w:bidi/>
        <w:spacing w:after="180"/>
        <w:rPr>
          <w:b/>
          <w:bCs/>
          <w:sz w:val="22"/>
          <w:szCs w:val="22"/>
        </w:rPr>
      </w:pPr>
    </w:p>
    <w:p w14:paraId="4FBB8FF2" w14:textId="72E3AF0E" w:rsidR="00E6621C" w:rsidRDefault="00E6621C" w:rsidP="002E256E">
      <w:pPr>
        <w:bidi/>
        <w:spacing w:after="180"/>
        <w:rPr>
          <w:b/>
          <w:bCs/>
          <w:sz w:val="22"/>
          <w:szCs w:val="22"/>
        </w:rPr>
      </w:pPr>
    </w:p>
    <w:p w14:paraId="084E2300" w14:textId="013BEF7A" w:rsidR="00E6621C" w:rsidRDefault="00E6621C" w:rsidP="002E256E">
      <w:pPr>
        <w:bidi/>
        <w:spacing w:after="180"/>
        <w:rPr>
          <w:b/>
          <w:bCs/>
          <w:sz w:val="22"/>
          <w:szCs w:val="22"/>
        </w:rPr>
      </w:pPr>
    </w:p>
    <w:p w14:paraId="2139F61E" w14:textId="606F3946" w:rsidR="00E6621C" w:rsidRPr="00415846" w:rsidRDefault="00E6621C" w:rsidP="002E256E">
      <w:pPr>
        <w:bidi/>
        <w:spacing w:after="180"/>
        <w:rPr>
          <w:b/>
          <w:bCs/>
          <w:sz w:val="22"/>
          <w:szCs w:val="22"/>
        </w:rPr>
      </w:pPr>
    </w:p>
    <w:p w14:paraId="71EAD1B5" w14:textId="48697B35" w:rsidR="00E6621C" w:rsidRDefault="00E6621C" w:rsidP="002E256E">
      <w:pPr>
        <w:bidi/>
        <w:spacing w:after="180"/>
        <w:rPr>
          <w:b/>
          <w:bCs/>
        </w:rPr>
      </w:pPr>
    </w:p>
    <w:p w14:paraId="5EE830D7" w14:textId="7B5E9A82" w:rsidR="007329D7" w:rsidRDefault="007329D7" w:rsidP="002E256E">
      <w:pPr>
        <w:bidi/>
        <w:spacing w:after="180"/>
        <w:rPr>
          <w:rFonts w:ascii="Acumin Pro" w:hAnsi="Acumin Pro" w:cs="Acumin Pro"/>
          <w:b/>
          <w:bCs/>
          <w:sz w:val="26"/>
          <w:szCs w:val="26"/>
        </w:rPr>
      </w:pPr>
    </w:p>
    <w:p w14:paraId="046A9E72" w14:textId="3B9444D6" w:rsidR="00A74EFB" w:rsidRDefault="00BC7D0B" w:rsidP="002E256E">
      <w:pPr>
        <w:bidi/>
        <w:spacing w:after="180"/>
        <w:rPr>
          <w:rFonts w:ascii="Acumin Pro" w:hAnsi="Acumin Pro" w:cs="Acumin Pro"/>
          <w:b/>
          <w:bCs/>
          <w:color w:val="00908B"/>
          <w:sz w:val="36"/>
          <w:szCs w:val="36"/>
        </w:rPr>
      </w:pPr>
      <w:r>
        <w:rPr>
          <w:rFonts w:ascii="Acumin Pro" w:hAnsi="Acumin Pro" w:cs="Acumin Pro"/>
          <w:b/>
          <w:bCs/>
          <w:color w:val="00908B"/>
          <w:sz w:val="28"/>
          <w:szCs w:val="28"/>
        </w:rPr>
        <w:br/>
      </w:r>
    </w:p>
    <w:p w14:paraId="47DCFE6A" w14:textId="20993600" w:rsidR="00A24DBB" w:rsidRPr="002E256E" w:rsidRDefault="00A24DBB" w:rsidP="002E256E">
      <w:pPr>
        <w:bidi/>
        <w:spacing w:after="180"/>
        <w:rPr>
          <w:rFonts w:ascii="Acumin Pro" w:hAnsi="Acumin Pro" w:cs="Acumin Pro"/>
          <w:b/>
          <w:bCs/>
          <w:color w:val="00908B"/>
          <w:sz w:val="40"/>
          <w:szCs w:val="40"/>
        </w:rPr>
      </w:pPr>
      <w:r w:rsidRPr="002E256E">
        <w:rPr>
          <w:rFonts w:ascii="Acumin Pro" w:hAnsi="Acumin Pro" w:cs="Acumin Pro"/>
          <w:b/>
          <w:bCs/>
          <w:color w:val="00908B"/>
          <w:sz w:val="40"/>
          <w:szCs w:val="40"/>
          <w:rtl/>
        </w:rPr>
        <w:t xml:space="preserve">التدخل الأجنبي يضر بحقوق وحريات الجاليات العرقية </w:t>
      </w:r>
    </w:p>
    <w:p w14:paraId="3E338BFE" w14:textId="36176B97" w:rsidR="00810F27" w:rsidRPr="002E256E" w:rsidRDefault="00C81D04" w:rsidP="002E256E">
      <w:pPr>
        <w:bidi/>
        <w:spacing w:before="0" w:after="0" w:line="276" w:lineRule="auto"/>
        <w:rPr>
          <w:rFonts w:ascii="Acumin Pro" w:hAnsi="Acumin Pro" w:cs="Acumin Pro"/>
        </w:rPr>
      </w:pPr>
      <w:r w:rsidRPr="002E256E">
        <w:rPr>
          <w:rFonts w:ascii="Acumin Pro" w:hAnsi="Acumin Pro" w:cs="Acumin Pro"/>
          <w:rtl/>
        </w:rPr>
        <w:t>التدخل الأجنبي هو عندما تحاول الدول الأجنبية التدخل في شؤون نيوزيلندا لتحقيق أهدافها الخاصة. وتسعى هذه الدول الأجنبية للسيطرة على المجتمع النيوزيلندي، ومصالحه، وسلوكياته، ومحاولة تغييرها. وذلك ليتمكنوا من الحصول على مزيد من النفوذ والسيطرة.</w:t>
      </w:r>
    </w:p>
    <w:p w14:paraId="23101E78" w14:textId="77777777" w:rsidR="00810F27" w:rsidRPr="002E256E" w:rsidRDefault="00810F27" w:rsidP="002E256E">
      <w:pPr>
        <w:bidi/>
        <w:spacing w:before="0" w:after="0" w:line="276" w:lineRule="auto"/>
        <w:rPr>
          <w:rFonts w:ascii="Acumin Pro" w:hAnsi="Acumin Pro" w:cs="Acumin Pro"/>
        </w:rPr>
      </w:pPr>
    </w:p>
    <w:p w14:paraId="2F7EF1C7" w14:textId="0AAD7B69" w:rsidR="0011154D" w:rsidRPr="002E256E" w:rsidRDefault="00C81D04" w:rsidP="002E256E">
      <w:pPr>
        <w:bidi/>
        <w:spacing w:before="0" w:after="0" w:line="276" w:lineRule="auto"/>
        <w:rPr>
          <w:rFonts w:ascii="Acumin Pro" w:hAnsi="Acumin Pro" w:cs="Acumin Pro"/>
        </w:rPr>
      </w:pPr>
      <w:r w:rsidRPr="002E256E">
        <w:rPr>
          <w:rFonts w:ascii="Acumin Pro" w:hAnsi="Acumin Pro" w:cs="Acumin Pro"/>
          <w:rtl/>
        </w:rPr>
        <w:t xml:space="preserve">إن التدخل الأجنبي يضر باستقلال نيوزيلندا وديمقراطيتها واقتصادها وسمعتها وجالياتها. ويمكن أن تحظى الجاليات العرقية في نيوزيلندا باهتمام غير مرغوب فيه من الدول الأجنبية، بأسلوب يجعلهم يشعرون بعدم الأمان ويضر بحقوقهم وحرياتهم. ولا تعد النشاطات الدبلوماسية الاعتيادية بين الدول نوعاً من أنواع التدخلات الأجنبية. </w:t>
      </w:r>
    </w:p>
    <w:p w14:paraId="4B3AEEA5" w14:textId="5ECE90B0" w:rsidR="0011154D" w:rsidRPr="002E256E" w:rsidRDefault="007329D7" w:rsidP="002E256E">
      <w:pPr>
        <w:keepLines w:val="0"/>
        <w:bidi/>
        <w:rPr>
          <w:rFonts w:ascii="Acumin Pro" w:hAnsi="Acumin Pro" w:cs="Acumin Pro"/>
        </w:rPr>
      </w:pPr>
      <w:r w:rsidRPr="002E256E">
        <w:rPr>
          <w:rFonts w:ascii="Acumin Pro" w:hAnsi="Acumin Pro" w:cs="Acumin Pro"/>
        </w:rPr>
        <w:br w:type="page"/>
      </w:r>
    </w:p>
    <w:p w14:paraId="6CA91E91" w14:textId="30B9602A" w:rsidR="00C81D04" w:rsidRPr="002E256E" w:rsidRDefault="00701A9B" w:rsidP="002E256E">
      <w:pPr>
        <w:bidi/>
        <w:spacing w:after="180"/>
        <w:rPr>
          <w:rFonts w:ascii="Acumin Pro" w:hAnsi="Acumin Pro" w:cs="Acumin Pro"/>
          <w:b/>
          <w:bCs/>
          <w:color w:val="00908B"/>
          <w:sz w:val="44"/>
          <w:szCs w:val="44"/>
        </w:rPr>
      </w:pPr>
      <w:r w:rsidRPr="00810F27">
        <w:rPr>
          <w:noProof/>
          <w:sz w:val="28"/>
          <w:szCs w:val="28"/>
        </w:rPr>
        <w:lastRenderedPageBreak/>
        <w:drawing>
          <wp:anchor distT="0" distB="0" distL="114300" distR="114300" simplePos="0" relativeHeight="251658241" behindDoc="1" locked="0" layoutInCell="1" allowOverlap="1" wp14:anchorId="4CAA71FF" wp14:editId="501E6009">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s="Acumin Pro"/>
                          <w:color w:val="000000" w:themeColor="text1"/>
                          <w:sz w:val="22"/>
                          <w:szCs w:val="22"/>
                          <w:lang w:bidi="ar-AA"/>
                        </w:rPr>
                        <w:bidi/>
                      </w:pPr>
                    </w:p>
                  </w:txbxContent>
                </v:textbox>
                <w10:wrap anchorx="margin"/>
              </v:shape>
            </w:pict>
          </mc:Fallback>
        </mc:AlternateContent>
      </w:r>
      <w:r w:rsidR="00A74EFB">
        <w:rPr>
          <w:rFonts w:ascii="Acumin Pro" w:hAnsi="Acumin Pro" w:cs="Acumin Pro"/>
          <w:b/>
          <w:bCs/>
          <w:color w:val="00908B"/>
          <w:sz w:val="38"/>
          <w:szCs w:val="38"/>
        </w:rPr>
        <w:br/>
      </w:r>
      <w:r w:rsidRPr="002E256E">
        <w:rPr>
          <w:rFonts w:ascii="Acumin Pro" w:hAnsi="Acumin Pro" w:cs="Acumin Pro"/>
          <w:b/>
          <w:bCs/>
          <w:color w:val="00908B"/>
          <w:sz w:val="44"/>
          <w:szCs w:val="44"/>
          <w:rtl/>
        </w:rPr>
        <w:t>كيف يمكن أن يحدث التدخل الأجنبي للجاليات العرقية؟</w:t>
      </w:r>
    </w:p>
    <w:p w14:paraId="2F0689CD" w14:textId="2AB0F73E" w:rsidR="00C81D04" w:rsidRPr="002E256E" w:rsidRDefault="00C81D04" w:rsidP="002E256E">
      <w:pPr>
        <w:bidi/>
        <w:spacing w:before="0"/>
        <w:rPr>
          <w:rFonts w:ascii="Acumin Pro" w:hAnsi="Acumin Pro" w:cs="Acumin Pro"/>
          <w:sz w:val="26"/>
          <w:szCs w:val="26"/>
          <w:lang w:val="en-US"/>
        </w:rPr>
      </w:pPr>
      <w:r w:rsidRPr="002E256E">
        <w:rPr>
          <w:rFonts w:ascii="Acumin Pro" w:hAnsi="Acumin Pro" w:cs="Acumin Pro"/>
          <w:sz w:val="26"/>
          <w:szCs w:val="26"/>
          <w:rtl/>
        </w:rPr>
        <w:t>التدخل الأجنبي في شؤون الجاليات العرقية أمر يصعب ملاحظته. وفيما يلي بعض الأمثلة على أنشطة التدخل الأجنبي التي تقوم بها دولة أجنبية أو شخص يقوم بالتدخل الأجنبي نيابة عنها في نيوزيلندا:</w:t>
      </w:r>
      <w:r w:rsidR="00B25F91" w:rsidRPr="002E256E">
        <w:rPr>
          <w:rFonts w:ascii="Acumin Pro" w:hAnsi="Acumin Pro" w:cs="Acumin Pro"/>
          <w:sz w:val="26"/>
          <w:szCs w:val="26"/>
          <w:rtl/>
        </w:rPr>
        <w:br/>
      </w:r>
    </w:p>
    <w:p w14:paraId="0C059D88" w14:textId="77777777" w:rsidR="00BC7D0B" w:rsidRPr="002E256E" w:rsidRDefault="00BC7D0B" w:rsidP="002E256E">
      <w:pPr>
        <w:pStyle w:val="ListParagraph"/>
        <w:numPr>
          <w:ilvl w:val="0"/>
          <w:numId w:val="25"/>
        </w:numPr>
        <w:bidi/>
        <w:spacing w:before="0" w:after="240"/>
        <w:ind w:left="714" w:hanging="357"/>
        <w:rPr>
          <w:rFonts w:ascii="Acumin Pro" w:hAnsi="Acumin Pro" w:cs="Acumin Pro"/>
          <w:sz w:val="26"/>
          <w:szCs w:val="26"/>
        </w:rPr>
        <w:sectPr w:rsidR="00BC7D0B" w:rsidRPr="002E256E" w:rsidSect="00EE0B9A">
          <w:headerReference w:type="default" r:id="rId10"/>
          <w:footerReference w:type="default" r:id="rId11"/>
          <w:headerReference w:type="first" r:id="rId12"/>
          <w:footerReference w:type="first" r:id="rId13"/>
          <w:pgSz w:w="11907" w:h="16840" w:code="9"/>
          <w:pgMar w:top="1418" w:right="1418" w:bottom="992" w:left="1418" w:header="425" w:footer="635" w:gutter="0"/>
          <w:cols w:space="708"/>
          <w:titlePg/>
          <w:docGrid w:linePitch="360"/>
        </w:sectPr>
      </w:pPr>
    </w:p>
    <w:p w14:paraId="45AD6CD2" w14:textId="77777777" w:rsidR="002E256E" w:rsidRPr="002E256E" w:rsidRDefault="002E256E" w:rsidP="002E256E">
      <w:pPr>
        <w:pStyle w:val="ListParagraph"/>
        <w:numPr>
          <w:ilvl w:val="0"/>
          <w:numId w:val="25"/>
        </w:numPr>
        <w:bidi/>
        <w:spacing w:before="0" w:after="240"/>
        <w:ind w:left="714" w:hanging="357"/>
        <w:rPr>
          <w:rFonts w:ascii="Acumin Pro" w:hAnsi="Acumin Pro" w:cs="Acumin Pro"/>
          <w:sz w:val="26"/>
          <w:szCs w:val="26"/>
        </w:rPr>
      </w:pPr>
      <w:r w:rsidRPr="002E256E">
        <w:rPr>
          <w:rFonts w:ascii="Arial" w:hAnsi="Arial" w:cs="Arial" w:hint="cs"/>
          <w:sz w:val="26"/>
          <w:szCs w:val="26"/>
          <w:rtl/>
        </w:rPr>
        <w:t>ا</w:t>
      </w:r>
      <w:r w:rsidRPr="002E256E">
        <w:rPr>
          <w:rFonts w:ascii="Acumin Pro" w:hAnsi="Acumin Pro" w:cs="Acumin Pro"/>
          <w:sz w:val="26"/>
          <w:szCs w:val="26"/>
          <w:rtl/>
        </w:rPr>
        <w:t xml:space="preserve">لمراقبة غير المصرح بها من دولة أجنبية للجاليات لتهديد أفرادها أو ترهيبهم </w:t>
      </w:r>
    </w:p>
    <w:p w14:paraId="29348836" w14:textId="77777777" w:rsidR="002E256E" w:rsidRPr="002E256E" w:rsidRDefault="002E256E" w:rsidP="002E256E">
      <w:pPr>
        <w:pStyle w:val="ListParagraph"/>
        <w:numPr>
          <w:ilvl w:val="0"/>
          <w:numId w:val="25"/>
        </w:numPr>
        <w:bidi/>
        <w:spacing w:before="0" w:after="240"/>
        <w:ind w:left="714" w:hanging="357"/>
        <w:rPr>
          <w:rFonts w:ascii="Acumin Pro" w:hAnsi="Acumin Pro" w:cs="Acumin Pro"/>
          <w:sz w:val="26"/>
          <w:szCs w:val="26"/>
        </w:rPr>
      </w:pPr>
      <w:r w:rsidRPr="002E256E">
        <w:rPr>
          <w:rFonts w:ascii="Acumin Pro" w:hAnsi="Acumin Pro" w:cs="Acumin Pro"/>
          <w:sz w:val="26"/>
          <w:szCs w:val="26"/>
          <w:rtl/>
        </w:rPr>
        <w:t>محاولة منع مجموعات أو جاليات معينة من مشاركة آرائها أو وجهات نظرها علناً لأنها تختلف عن آراء تلك الدولة الأجنبية باستخدام التهديد أو الترهيب</w:t>
      </w:r>
    </w:p>
    <w:p w14:paraId="5F5A43E0" w14:textId="3712D706" w:rsidR="002E256E" w:rsidRPr="002E256E" w:rsidRDefault="002E256E" w:rsidP="002E256E">
      <w:pPr>
        <w:pStyle w:val="ListParagraph"/>
        <w:numPr>
          <w:ilvl w:val="0"/>
          <w:numId w:val="25"/>
        </w:numPr>
        <w:bidi/>
        <w:spacing w:before="0" w:after="240"/>
        <w:ind w:left="714" w:hanging="357"/>
        <w:rPr>
          <w:rFonts w:ascii="Acumin Pro" w:hAnsi="Acumin Pro" w:cs="Acumin Pro"/>
          <w:sz w:val="26"/>
          <w:szCs w:val="26"/>
        </w:rPr>
      </w:pPr>
      <w:r w:rsidRPr="002E256E">
        <w:rPr>
          <w:rFonts w:ascii="Acumin Pro" w:hAnsi="Acumin Pro" w:cs="Acumin Pro"/>
          <w:sz w:val="26"/>
          <w:szCs w:val="26"/>
          <w:rtl/>
        </w:rPr>
        <w:t>محاولة دولة أجنبية منع إقامة احتفالات في نيوزيلندا لمنع الناس من التعبير عن آرائهم أو معتقداتهم التي لا توافق عليها تلك الدولة</w:t>
      </w:r>
    </w:p>
    <w:p w14:paraId="24EAD46C" w14:textId="5E832E4E" w:rsidR="002E256E" w:rsidRPr="002E256E" w:rsidRDefault="002E256E" w:rsidP="002E256E">
      <w:pPr>
        <w:pStyle w:val="ListParagraph"/>
        <w:numPr>
          <w:ilvl w:val="0"/>
          <w:numId w:val="25"/>
        </w:numPr>
        <w:bidi/>
        <w:spacing w:before="0" w:after="240"/>
        <w:ind w:left="714" w:hanging="357"/>
        <w:rPr>
          <w:rFonts w:ascii="Acumin Pro" w:hAnsi="Acumin Pro" w:cs="Acumin Pro"/>
          <w:sz w:val="26"/>
          <w:szCs w:val="26"/>
        </w:rPr>
      </w:pPr>
      <w:r w:rsidRPr="002E256E">
        <w:rPr>
          <w:rFonts w:ascii="Acumin Pro" w:hAnsi="Acumin Pro" w:cs="Acumin Pro"/>
          <w:sz w:val="26"/>
          <w:szCs w:val="26"/>
          <w:rtl/>
        </w:rPr>
        <w:t>نقل التهديدات من دولة أجنبية إلى الجاليات في نيوزيلندا</w:t>
      </w:r>
    </w:p>
    <w:p w14:paraId="533D1707" w14:textId="071BC6D9" w:rsidR="003108E7" w:rsidRPr="002E256E" w:rsidRDefault="002E256E" w:rsidP="002E256E">
      <w:pPr>
        <w:pStyle w:val="ListParagraph"/>
        <w:numPr>
          <w:ilvl w:val="0"/>
          <w:numId w:val="25"/>
        </w:numPr>
        <w:bidi/>
        <w:spacing w:before="0" w:after="240"/>
        <w:ind w:left="714" w:hanging="357"/>
        <w:rPr>
          <w:rFonts w:ascii="Acumin Pro" w:hAnsi="Acumin Pro" w:cs="Acumin Pro"/>
          <w:sz w:val="26"/>
          <w:szCs w:val="26"/>
        </w:rPr>
      </w:pPr>
      <w:r w:rsidRPr="002E256E">
        <w:rPr>
          <w:noProof/>
          <w:sz w:val="26"/>
          <w:szCs w:val="26"/>
          <w:rtl/>
        </w:rPr>
        <w:drawing>
          <wp:anchor distT="0" distB="0" distL="114300" distR="114300" simplePos="0" relativeHeight="251660292" behindDoc="1" locked="0" layoutInCell="1" allowOverlap="1" wp14:anchorId="710B7726" wp14:editId="6B9191E8">
            <wp:simplePos x="0" y="0"/>
            <wp:positionH relativeFrom="page">
              <wp:posOffset>-297180</wp:posOffset>
            </wp:positionH>
            <wp:positionV relativeFrom="paragraph">
              <wp:posOffset>510499</wp:posOffset>
            </wp:positionV>
            <wp:extent cx="7755255" cy="5115168"/>
            <wp:effectExtent l="0" t="0" r="0" b="0"/>
            <wp:wrapNone/>
            <wp:docPr id="375107420"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56E">
        <w:rPr>
          <w:rFonts w:ascii="Acumin Pro" w:hAnsi="Acumin Pro" w:cs="Acumin Pro"/>
          <w:sz w:val="26"/>
          <w:szCs w:val="26"/>
          <w:rtl/>
        </w:rPr>
        <w:t>محاولة تغيير طريقة عمل الانتخابات وغيرها من الممارسات الديمقراطية</w:t>
      </w:r>
    </w:p>
    <w:p w14:paraId="5C2887BE" w14:textId="5E1FDADA" w:rsidR="002E256E" w:rsidRPr="002E256E" w:rsidRDefault="003108E7" w:rsidP="002E256E">
      <w:pPr>
        <w:pStyle w:val="ListParagraph"/>
        <w:numPr>
          <w:ilvl w:val="0"/>
          <w:numId w:val="25"/>
        </w:numPr>
        <w:bidi/>
        <w:spacing w:before="0" w:after="240"/>
        <w:ind w:left="714" w:hanging="357"/>
        <w:rPr>
          <w:rFonts w:ascii="Acumin Pro" w:hAnsi="Acumin Pro" w:cs="Acumin Pro"/>
          <w:sz w:val="26"/>
          <w:szCs w:val="26"/>
        </w:rPr>
      </w:pPr>
      <w:r w:rsidRPr="002E256E">
        <w:rPr>
          <w:rFonts w:ascii="Acumin Pro" w:hAnsi="Acumin Pro" w:cs="Acumin Pro"/>
          <w:sz w:val="26"/>
          <w:szCs w:val="26"/>
          <w:rtl/>
        </w:rPr>
        <w:br w:type="column"/>
      </w:r>
      <w:r w:rsidR="002E256E" w:rsidRPr="002E256E">
        <w:rPr>
          <w:rFonts w:ascii="Acumin Pro" w:hAnsi="Acumin Pro" w:cs="Acumin Pro"/>
          <w:sz w:val="26"/>
          <w:szCs w:val="26"/>
          <w:rtl/>
        </w:rPr>
        <w:t>محاولة السيطرة على الجاليات، أو على المنظمات أو المجموعات لتلك للجاليات وترهيبها</w:t>
      </w:r>
    </w:p>
    <w:p w14:paraId="19EC7CBC" w14:textId="77777777" w:rsidR="002E256E" w:rsidRPr="002E256E" w:rsidRDefault="002E256E" w:rsidP="002E256E">
      <w:pPr>
        <w:pStyle w:val="ListParagraph"/>
        <w:numPr>
          <w:ilvl w:val="0"/>
          <w:numId w:val="25"/>
        </w:numPr>
        <w:bidi/>
        <w:spacing w:before="0" w:after="240"/>
        <w:ind w:left="714" w:hanging="357"/>
        <w:rPr>
          <w:rFonts w:ascii="Acumin Pro" w:hAnsi="Acumin Pro" w:cs="Acumin Pro"/>
          <w:sz w:val="26"/>
          <w:szCs w:val="26"/>
        </w:rPr>
      </w:pPr>
      <w:r w:rsidRPr="002E256E">
        <w:rPr>
          <w:rFonts w:ascii="Acumin Pro" w:hAnsi="Acumin Pro" w:cs="Acumin Pro"/>
          <w:sz w:val="26"/>
          <w:szCs w:val="26"/>
          <w:rtl/>
        </w:rPr>
        <w:t>رفض التعامل مع الوثائق الرسمية لتلك الجاليات أو إصدارها لها لغرض مضايقتها وترهيبها والسيطرة عليها وعلى نشاطاتها</w:t>
      </w:r>
    </w:p>
    <w:p w14:paraId="207A03AD" w14:textId="77777777" w:rsidR="002E256E" w:rsidRPr="002E256E" w:rsidRDefault="002E256E" w:rsidP="002E256E">
      <w:pPr>
        <w:pStyle w:val="ListParagraph"/>
        <w:numPr>
          <w:ilvl w:val="0"/>
          <w:numId w:val="25"/>
        </w:numPr>
        <w:bidi/>
        <w:spacing w:before="0" w:after="240"/>
        <w:ind w:left="714" w:hanging="357"/>
        <w:rPr>
          <w:rFonts w:ascii="Acumin Pro" w:hAnsi="Acumin Pro" w:cs="Acumin Pro"/>
          <w:sz w:val="26"/>
          <w:szCs w:val="26"/>
        </w:rPr>
      </w:pPr>
      <w:r w:rsidRPr="002E256E">
        <w:rPr>
          <w:rFonts w:ascii="Acumin Pro" w:hAnsi="Acumin Pro" w:cs="Acumin Pro"/>
          <w:sz w:val="26"/>
          <w:szCs w:val="26"/>
          <w:rtl/>
        </w:rPr>
        <w:t xml:space="preserve">السحب أو التهديد بسحب التأشيرات أو جوازات السفر أو غيرها من الوثائق الرسمية للأشخاص من تلك الجاليات في نيوزيلندا لغرض مضايقتهم وترهيبهم والسيطرة عليهم وعلى نشاطاتهم </w:t>
      </w:r>
    </w:p>
    <w:p w14:paraId="03EBD35A" w14:textId="668F21B4" w:rsidR="002E256E" w:rsidRPr="002E256E" w:rsidRDefault="002E256E" w:rsidP="002E256E">
      <w:pPr>
        <w:pStyle w:val="ListParagraph"/>
        <w:numPr>
          <w:ilvl w:val="0"/>
          <w:numId w:val="25"/>
        </w:numPr>
        <w:bidi/>
        <w:spacing w:before="0" w:after="240"/>
        <w:ind w:left="714" w:hanging="357"/>
        <w:rPr>
          <w:rFonts w:ascii="Acumin Pro" w:hAnsi="Acumin Pro" w:cs="Acumin Pro"/>
          <w:sz w:val="26"/>
          <w:szCs w:val="26"/>
        </w:rPr>
      </w:pPr>
      <w:r w:rsidRPr="002E256E">
        <w:rPr>
          <w:rFonts w:ascii="Acumin Pro" w:hAnsi="Acumin Pro" w:cs="Acumin Pro"/>
          <w:sz w:val="26"/>
          <w:szCs w:val="26"/>
          <w:rtl/>
        </w:rPr>
        <w:t xml:space="preserve">تهديد الأشخاص في نيوزيلندا أو عائلاتهم الذين يعيشون في خارجها (يشمل ذلك التهديدات والمضايقات عبر وسائل التواصل الاجتماعي) </w:t>
      </w:r>
    </w:p>
    <w:p w14:paraId="5FB0ADBD" w14:textId="1A228DB6" w:rsidR="002E256E" w:rsidRPr="002E256E" w:rsidRDefault="002E256E" w:rsidP="002E256E">
      <w:pPr>
        <w:pStyle w:val="ListParagraph"/>
        <w:numPr>
          <w:ilvl w:val="0"/>
          <w:numId w:val="25"/>
        </w:numPr>
        <w:bidi/>
        <w:spacing w:before="0" w:after="240"/>
        <w:ind w:left="714" w:hanging="357"/>
        <w:rPr>
          <w:rFonts w:ascii="Acumin Pro" w:hAnsi="Acumin Pro" w:cs="Acumin Pro"/>
          <w:sz w:val="26"/>
          <w:szCs w:val="26"/>
          <w:rtl/>
        </w:rPr>
      </w:pPr>
      <w:r w:rsidRPr="002E256E">
        <w:rPr>
          <w:rFonts w:ascii="Acumin Pro" w:hAnsi="Acumin Pro" w:cs="Acumin Pro"/>
          <w:sz w:val="26"/>
          <w:szCs w:val="26"/>
          <w:rtl/>
        </w:rPr>
        <w:t>إجبار الناس على العودة إلى بلدانهم الأصلية غصبا عنهم</w:t>
      </w:r>
    </w:p>
    <w:sectPr w:rsidR="002E256E" w:rsidRPr="002E256E"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F0271B" w14:textId="77777777" w:rsidR="0006260F" w:rsidRDefault="0006260F">
      <w:r>
        <w:separator/>
      </w:r>
    </w:p>
    <w:p w14:paraId="06190676" w14:textId="77777777" w:rsidR="0006260F" w:rsidRDefault="0006260F"/>
    <w:p w14:paraId="09199392" w14:textId="77777777" w:rsidR="0006260F" w:rsidRDefault="0006260F"/>
  </w:endnote>
  <w:endnote w:type="continuationSeparator" w:id="0">
    <w:p w14:paraId="49F3A344" w14:textId="77777777" w:rsidR="0006260F" w:rsidRDefault="0006260F">
      <w:r>
        <w:continuationSeparator/>
      </w:r>
    </w:p>
    <w:p w14:paraId="22CB460A" w14:textId="77777777" w:rsidR="0006260F" w:rsidRDefault="0006260F"/>
    <w:p w14:paraId="6B4ABB68" w14:textId="77777777" w:rsidR="0006260F" w:rsidRDefault="0006260F"/>
  </w:endnote>
  <w:endnote w:type="continuationNotice" w:id="1">
    <w:p w14:paraId="1ECDE78F" w14:textId="77777777" w:rsidR="0006260F" w:rsidRDefault="0006260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CABF6" w14:textId="27F7F7CF" w:rsidR="008504D0" w:rsidRPr="0011154D" w:rsidRDefault="008504D0" w:rsidP="00E6621C">
    <w:pPr>
      <w:bidi/>
      <w:rPr>
        <w:rFonts w:ascii="Acumin Pro" w:hAnsi="Acumin Pro" w:cs="Acumin Pro"/>
        <w:b/>
        <w:bCs/>
        <w:color w:val="000000" w:themeColor="text1"/>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B9A8" w14:textId="41EF4587" w:rsidR="00810F27" w:rsidRPr="00810F27" w:rsidRDefault="00810F27" w:rsidP="00810F27">
    <w:pPr>
      <w:bidi/>
      <w:rPr>
        <w:rFonts w:ascii="Acumin Pro" w:hAnsi="Acumin Pro" w:cs="Acumin Pro"/>
        <w:b/>
        <w:bCs/>
        <w:color w:val="000000" w:themeColor="text1"/>
        <w:sz w:val="18"/>
        <w:szCs w:val="18"/>
      </w:rPr>
    </w:pPr>
    <w:r>
      <w:rPr>
        <w:rFonts w:ascii="Acumin Pro" w:hAnsi="Acumin Pro" w:cs="Acumin Pro"/>
        <w:sz w:val="18"/>
        <w:szCs w:val="18"/>
        <w:rtl/>
      </w:rPr>
      <w:t xml:space="preserve">* هذا المحتوى مقتبس من </w:t>
    </w:r>
    <w:hyperlink r:id="rId1" w:history="1">
      <w:r>
        <w:rPr>
          <w:rStyle w:val="Hyperlink"/>
          <w:rFonts w:ascii="Acumin Pro" w:hAnsi="Acumin Pro" w:cs="Acumin Pro"/>
          <w:b/>
          <w:bCs/>
          <w:sz w:val="18"/>
          <w:szCs w:val="18"/>
          <w:rtl/>
        </w:rPr>
        <w:t>تقرير جهاز</w:t>
      </w:r>
      <w:r w:rsidR="00FD2276">
        <w:rPr>
          <w:rStyle w:val="Hyperlink"/>
          <w:rFonts w:ascii="Acumin Pro" w:hAnsi="Acumin Pro" w:cs="Acumin Pro" w:hint="cs"/>
          <w:b/>
          <w:bCs/>
          <w:sz w:val="18"/>
          <w:szCs w:val="18"/>
          <w:rtl/>
        </w:rPr>
        <w:t xml:space="preserve"> الأمن و</w:t>
      </w:r>
      <w:r>
        <w:rPr>
          <w:rStyle w:val="Hyperlink"/>
          <w:rFonts w:ascii="Acumin Pro" w:hAnsi="Acumin Pro" w:cs="Acumin Pro"/>
          <w:b/>
          <w:bCs/>
          <w:sz w:val="18"/>
          <w:szCs w:val="18"/>
          <w:rtl/>
        </w:rPr>
        <w:t xml:space="preserve"> ال</w:t>
      </w:r>
      <w:r w:rsidR="00FD2276">
        <w:rPr>
          <w:rStyle w:val="Hyperlink"/>
          <w:rFonts w:ascii="Acumin Pro" w:hAnsi="Acumin Pro" w:cs="Acumin Pro" w:hint="cs"/>
          <w:b/>
          <w:bCs/>
          <w:sz w:val="18"/>
          <w:szCs w:val="18"/>
          <w:rtl/>
        </w:rPr>
        <w:t>استخبارات</w:t>
      </w:r>
      <w:r>
        <w:rPr>
          <w:rStyle w:val="Hyperlink"/>
          <w:rFonts w:ascii="Acumin Pro" w:hAnsi="Acumin Pro" w:cs="Acumin Pro"/>
          <w:b/>
          <w:bCs/>
          <w:sz w:val="18"/>
          <w:szCs w:val="18"/>
          <w:rtl/>
        </w:rPr>
        <w:t xml:space="preserve"> النيوزيلندي NZSIS لعام 2024: بيئة التهديدات الأمنية في نيوزيلندا </w:t>
      </w:r>
    </w:hyperlink>
    <w:r w:rsidRPr="0011154D">
      <w:rPr>
        <w:rFonts w:ascii="Acumin Pro" w:hAnsi="Acumin Pro" w:cs="Acumin Pro"/>
        <w:b/>
        <w:bCs/>
        <w:sz w:val="18"/>
        <w:szCs w:val="18"/>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B7E2C" w14:textId="77777777" w:rsidR="0006260F" w:rsidRDefault="0006260F" w:rsidP="00FB1990">
      <w:pPr>
        <w:pStyle w:val="Spacer"/>
      </w:pPr>
      <w:r>
        <w:separator/>
      </w:r>
    </w:p>
    <w:p w14:paraId="1BC44649" w14:textId="77777777" w:rsidR="0006260F" w:rsidRDefault="0006260F" w:rsidP="00FB1990">
      <w:pPr>
        <w:pStyle w:val="Spacer"/>
      </w:pPr>
    </w:p>
  </w:footnote>
  <w:footnote w:type="continuationSeparator" w:id="0">
    <w:p w14:paraId="689DFD70" w14:textId="77777777" w:rsidR="0006260F" w:rsidRDefault="0006260F">
      <w:r>
        <w:continuationSeparator/>
      </w:r>
    </w:p>
    <w:p w14:paraId="1010A1DC" w14:textId="77777777" w:rsidR="0006260F" w:rsidRDefault="0006260F"/>
    <w:p w14:paraId="691E252C" w14:textId="77777777" w:rsidR="0006260F" w:rsidRDefault="0006260F"/>
  </w:footnote>
  <w:footnote w:type="continuationNotice" w:id="1">
    <w:p w14:paraId="3E9BC9A9" w14:textId="77777777" w:rsidR="0006260F" w:rsidRDefault="0006260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966A7" w14:textId="7BB98891" w:rsidR="004F64EB" w:rsidRPr="004F64EB" w:rsidRDefault="004F64EB" w:rsidP="004F64EB">
    <w:pPr>
      <w:pStyle w:val="Header"/>
      <w:bidi/>
      <w:jc w:val="center"/>
      <w:rPr>
        <w:rFonts w:ascii="Acumin Pro" w:hAnsi="Acumin Pro" w:cs="Acumin Pro"/>
        <w:sz w:val="20"/>
        <w:szCs w:val="20"/>
      </w:rPr>
    </w:pPr>
    <w:r>
      <w:rPr>
        <w:rFonts w:ascii="Acumin Pro" w:hAnsi="Acumin Pro" w:cs="Acumin Pro"/>
        <w:b/>
        <w:bCs/>
        <w:sz w:val="20"/>
        <w:szCs w:val="20"/>
        <w:rtl/>
      </w:rPr>
      <w:t xml:space="preserve">التدخل الأجنبي يضر بحقوق وحريات المواطنين في نيوزيلندا </w:t>
    </w:r>
    <w:r w:rsidRPr="004F64EB">
      <w:rPr>
        <w:rFonts w:ascii="Acumin Pro" w:hAnsi="Acumin Pro" w:cs="Acumin Pro"/>
        <w:sz w:val="20"/>
        <w:szCs w:val="20"/>
        <w:rtl/>
      </w:rPr>
      <w:t xml:space="preserve"> </w:t>
    </w:r>
    <w:sdt>
      <w:sdtPr>
        <w:rPr>
          <w:rFonts w:ascii="Acumin Pro" w:hAnsi="Acumin Pro" w:cs="Acumin Pro"/>
          <w:sz w:val="20"/>
          <w:szCs w:val="20"/>
          <w:rtl/>
        </w:rPr>
        <w:id w:val="423689384"/>
        <w:docPartObj>
          <w:docPartGallery w:val="Page Numbers (Top of Page)"/>
          <w:docPartUnique/>
        </w:docPartObj>
      </w:sdtPr>
      <w:sdtEndPr/>
      <w:sdtContent>
        <w:r>
          <w:rPr>
            <w:rFonts w:ascii="Acumin Pro" w:hAnsi="Acumin Pro" w:cs="Acumin Pro"/>
            <w:sz w:val="20"/>
            <w:szCs w:val="20"/>
          </w:rPr>
          <w:br/>
        </w:r>
        <w:r>
          <w:rPr>
            <w:rFonts w:ascii="Acumin Pro" w:hAnsi="Acumin Pro" w:cs="Acumin Pro"/>
            <w:sz w:val="20"/>
          </w:rPr>
          <w:t xml:space="preserve"> </w:t>
        </w:r>
        <w:r w:rsidRPr="004F64EB">
          <w:rPr>
            <w:rFonts w:ascii="Acumin Pro" w:hAnsi="Acumin Pro" w:cs="Acumin Pro"/>
            <w:sz w:val="20"/>
            <w:szCs w:val="20"/>
          </w:rPr>
          <w:fldChar w:fldCharType="begin"/>
        </w:r>
        <w:r w:rsidRPr="004F64EB">
          <w:rPr>
            <w:rFonts w:ascii="Acumin Pro" w:hAnsi="Acumin Pro" w:cs="Acumin Pro"/>
            <w:sz w:val="20"/>
            <w:szCs w:val="20"/>
          </w:rPr>
          <w:instrText xml:space="preserve"> PAGE   \* MERGEFORMAT </w:instrText>
        </w:r>
        <w:r w:rsidRPr="004F64EB">
          <w:rPr>
            <w:rFonts w:ascii="Acumin Pro" w:hAnsi="Acumin Pro" w:cs="Acumin Pro"/>
            <w:sz w:val="20"/>
            <w:szCs w:val="20"/>
          </w:rPr>
          <w:fldChar w:fldCharType="separate"/>
        </w:r>
        <w:r>
          <w:rPr>
            <w:rFonts w:ascii="Acumin Pro" w:hAnsi="Acumin Pro" w:cs="Acumin Pro"/>
            <w:sz w:val="20"/>
          </w:rPr>
          <w:t>2</w:t>
        </w:r>
        <w:r w:rsidRPr="004F64EB">
          <w:rPr>
            <w:rFonts w:ascii="Acumin Pro" w:hAnsi="Acumin Pro" w:cs="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cs="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66BA" w14:textId="0375F1A1" w:rsidR="004F64EB" w:rsidRPr="004F64EB" w:rsidRDefault="00B0334F" w:rsidP="004F64EB">
    <w:pPr>
      <w:pStyle w:val="Header"/>
      <w:jc w:val="center"/>
    </w:pPr>
    <w:sdt>
      <w:sdtPr>
        <w:rPr>
          <w:rFonts w:ascii="Acumin Pro" w:hAnsi="Acumin Pro" w:cs="Acumin Pro"/>
          <w:sz w:val="20"/>
          <w:szCs w:val="20"/>
        </w:rPr>
        <w:id w:val="-2144036067"/>
        <w:docPartObj>
          <w:docPartGallery w:val="Page Numbers (Top of Page)"/>
          <w:docPartUnique/>
        </w:docPartObj>
      </w:sdtPr>
      <w:sdtEndPr/>
      <w:sdtContent>
        <w:r w:rsidR="004F64EB">
          <w:rPr>
            <w:rFonts w:ascii="Acumin Pro" w:hAnsi="Acumin Pro" w:cs="Acumin Pro"/>
            <w:sz w:val="20"/>
            <w:szCs w:val="20"/>
          </w:rPr>
          <w:br/>
        </w:r>
        <w:r w:rsidR="00FD2276">
          <w:rPr>
            <w:rFonts w:ascii="Acumin Pro" w:hAnsi="Acumin Pro" w:cs="Acumin Pro"/>
            <w:sz w:val="20"/>
          </w:rPr>
          <w:t xml:space="preserve"> </w:t>
        </w:r>
        <w:r w:rsidR="004F64EB" w:rsidRPr="004F64EB">
          <w:rPr>
            <w:rFonts w:ascii="Acumin Pro" w:hAnsi="Acumin Pro" w:cs="Acumin Pro"/>
            <w:sz w:val="20"/>
            <w:szCs w:val="20"/>
          </w:rPr>
          <w:fldChar w:fldCharType="begin"/>
        </w:r>
        <w:r w:rsidR="004F64EB" w:rsidRPr="004F64EB">
          <w:rPr>
            <w:rFonts w:ascii="Acumin Pro" w:hAnsi="Acumin Pro" w:cs="Acumin Pro"/>
            <w:sz w:val="20"/>
            <w:szCs w:val="20"/>
          </w:rPr>
          <w:instrText xml:space="preserve"> PAGE   \* MERGEFORMAT </w:instrText>
        </w:r>
        <w:r w:rsidR="004F64EB" w:rsidRPr="004F64EB">
          <w:rPr>
            <w:rFonts w:ascii="Acumin Pro" w:hAnsi="Acumin Pro" w:cs="Acumin Pro"/>
            <w:sz w:val="20"/>
            <w:szCs w:val="20"/>
          </w:rPr>
          <w:fldChar w:fldCharType="separate"/>
        </w:r>
        <w:r w:rsidR="00FD2276">
          <w:rPr>
            <w:rFonts w:ascii="Acumin Pro" w:hAnsi="Acumin Pro" w:cs="Acumin Pro"/>
            <w:sz w:val="20"/>
          </w:rPr>
          <w:t>2</w:t>
        </w:r>
        <w:r w:rsidR="004F64EB" w:rsidRPr="004F64EB">
          <w:rPr>
            <w:rFonts w:ascii="Acumin Pro" w:hAnsi="Acumin Pro" w:cs="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cs="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567" w:hanging="567"/>
      </w:pPr>
      <w:rPr>
        <w:rFonts w:hint="default"/>
      </w:rPr>
    </w:lvl>
    <w:lvl w:ilvl="2">
      <w:start w:val="1"/>
      <w:numFmt w:val="lowerLetter"/>
      <w:pStyle w:val="Numberedpara1level3a"/>
      <w:lvlText w:val="(%3)"/>
      <w:lvlJc w:val="left"/>
      <w:pPr>
        <w:ind w:left="924" w:hanging="357"/>
      </w:pPr>
      <w:rPr>
        <w:rFonts w:hint="default"/>
      </w:rPr>
    </w:lvl>
    <w:lvl w:ilvl="3">
      <w:start w:val="1"/>
      <w:numFmt w:val="lowerRoman"/>
      <w:pStyle w:val="Numberedpara1level4i"/>
      <w:lvlText w:val="(%4)"/>
      <w:lvlJc w:val="left"/>
      <w:pPr>
        <w:ind w:left="1281" w:hanging="357"/>
      </w:pPr>
      <w:rPr>
        <w:rFonts w:hint="default"/>
      </w:rPr>
    </w:lvl>
    <w:lvl w:ilvl="4">
      <w:start w:val="1"/>
      <w:numFmt w:val="none"/>
      <w:suff w:val="nothing"/>
      <w:lvlText w:val=""/>
      <w:lvlJc w:val="left"/>
      <w:pPr>
        <w:ind w:left="3544"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hint="default"/>
      </w:rPr>
    </w:lvl>
    <w:lvl w:ilvl="1">
      <w:start w:val="1"/>
      <w:numFmt w:val="decimal"/>
      <w:pStyle w:val="Headingnumbered2"/>
      <w:lvlText w:val="%1.%2"/>
      <w:lvlJc w:val="left"/>
      <w:pPr>
        <w:tabs>
          <w:tab w:val="num" w:pos="709"/>
        </w:tabs>
        <w:ind w:left="709" w:hanging="709"/>
      </w:pPr>
      <w:rPr>
        <w:rFonts w:hint="default"/>
      </w:rPr>
    </w:lvl>
    <w:lvl w:ilvl="2">
      <w:start w:val="1"/>
      <w:numFmt w:val="decimal"/>
      <w:pStyle w:val="Headingnumbered3"/>
      <w:lvlText w:val="%3.%2.%1"/>
      <w:lvlJc w:val="left"/>
      <w:pPr>
        <w:tabs>
          <w:tab w:val="num" w:pos="709"/>
        </w:tabs>
        <w:ind w:left="709" w:hanging="709"/>
      </w:pPr>
      <w:rPr>
        <w:rFonts w:hint="default"/>
      </w:rPr>
    </w:lvl>
    <w:lvl w:ilvl="3">
      <w:start w:val="1"/>
      <w:numFmt w:val="none"/>
      <w:pStyle w:val="Headingnumbered4"/>
      <w:lvlText w:val="%4"/>
      <w:lvlJc w:val="left"/>
      <w:pPr>
        <w:tabs>
          <w:tab w:val="num" w:pos="0"/>
        </w:tabs>
        <w:ind w:left="0" w:firstLine="0"/>
      </w:pPr>
      <w:rPr>
        <w:rFonts w:ascii="Calibri" w:hAnsi="Calibri" w:cs="Calibri"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cs="Symbol" w:hint="default"/>
        <w:color w:val="00908B"/>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cs="Symbol" w:hint="default"/>
        <w:sz w:val="20"/>
      </w:rPr>
    </w:lvl>
    <w:lvl w:ilvl="1">
      <w:start w:val="1"/>
      <w:numFmt w:val="bullet"/>
      <w:pStyle w:val="Bulletlevel2"/>
      <w:lvlText w:val="○"/>
      <w:lvlJc w:val="left"/>
      <w:pPr>
        <w:ind w:left="1281" w:hanging="357"/>
      </w:pPr>
      <w:rPr>
        <w:rFonts w:ascii="Courier New" w:hAnsi="Courier New" w:cs="Courier New" w:hint="default"/>
        <w:b/>
        <w:i w:val="0"/>
        <w:sz w:val="18"/>
      </w:rPr>
    </w:lvl>
    <w:lvl w:ilvl="2">
      <w:start w:val="1"/>
      <w:numFmt w:val="bullet"/>
      <w:pStyle w:val="Bulletlevel3"/>
      <w:lvlText w:val="-"/>
      <w:lvlJc w:val="left"/>
      <w:pPr>
        <w:ind w:left="1639" w:hanging="358"/>
      </w:pPr>
      <w:rPr>
        <w:rFonts w:ascii="Calibri" w:hAnsi="Calibri" w:cs="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cs="Symbol" w:hint="default"/>
        <w:sz w:val="18"/>
      </w:rPr>
    </w:lvl>
    <w:lvl w:ilvl="1">
      <w:start w:val="1"/>
      <w:numFmt w:val="bullet"/>
      <w:pStyle w:val="Tablebulletlevel2"/>
      <w:lvlText w:val="○"/>
      <w:lvlJc w:val="left"/>
      <w:pPr>
        <w:ind w:left="714" w:hanging="357"/>
      </w:pPr>
      <w:rPr>
        <w:rFonts w:ascii="Courier New" w:hAnsi="Courier New" w:cs="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cs="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260F"/>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313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97CC7"/>
    <w:rsid w:val="002A0B0F"/>
    <w:rsid w:val="002A194F"/>
    <w:rsid w:val="002A462A"/>
    <w:rsid w:val="002A4BD9"/>
    <w:rsid w:val="002A4FE7"/>
    <w:rsid w:val="002B1CEB"/>
    <w:rsid w:val="002D3125"/>
    <w:rsid w:val="002D4AFB"/>
    <w:rsid w:val="002D4F42"/>
    <w:rsid w:val="002E256E"/>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5C6C"/>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F03F2"/>
    <w:rsid w:val="007F04A4"/>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07803"/>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125A"/>
    <w:rsid w:val="00AD6E77"/>
    <w:rsid w:val="00AD7A25"/>
    <w:rsid w:val="00AE0307"/>
    <w:rsid w:val="00AE2666"/>
    <w:rsid w:val="00AE478C"/>
    <w:rsid w:val="00AE6F8A"/>
    <w:rsid w:val="00AF001A"/>
    <w:rsid w:val="00AF3A5A"/>
    <w:rsid w:val="00AF3E15"/>
    <w:rsid w:val="00AF5218"/>
    <w:rsid w:val="00AF60A0"/>
    <w:rsid w:val="00B01A6F"/>
    <w:rsid w:val="00B0334F"/>
    <w:rsid w:val="00B0480E"/>
    <w:rsid w:val="00B07F64"/>
    <w:rsid w:val="00B1026A"/>
    <w:rsid w:val="00B166D9"/>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481"/>
    <w:rsid w:val="00FA67D2"/>
    <w:rsid w:val="00FB1990"/>
    <w:rsid w:val="00FB302F"/>
    <w:rsid w:val="00FB5A92"/>
    <w:rsid w:val="00FC071C"/>
    <w:rsid w:val="00FC1C69"/>
    <w:rsid w:val="00FC3739"/>
    <w:rsid w:val="00FD11D7"/>
    <w:rsid w:val="00FD13D2"/>
    <w:rsid w:val="00FD2276"/>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B8D43919-5E51-44F1-886A-FDD251110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cs="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semiHidden/>
    <w:rsid w:val="00065F18"/>
    <w:rPr>
      <w:rFonts w:ascii="Times New Roman" w:hAnsi="Times New Roman" w:cs="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cs="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cs="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cs="Calibri"/>
      <w:smallCaps/>
      <w:color w:val="A42F13" w:themeColor="accent2"/>
      <w:u w:val="single"/>
    </w:rPr>
  </w:style>
  <w:style w:type="character" w:styleId="BookTitle">
    <w:name w:val="Book Title"/>
    <w:basedOn w:val="DefaultParagraphFont"/>
    <w:uiPriority w:val="33"/>
    <w:semiHidden/>
    <w:qFormat/>
    <w:rsid w:val="00065F18"/>
    <w:rPr>
      <w:rFonts w:ascii="Calibri" w:hAnsi="Calibri" w:cs="Calibri"/>
      <w:b/>
      <w:bCs/>
      <w:smallCaps/>
      <w:spacing w:val="5"/>
    </w:rPr>
  </w:style>
  <w:style w:type="character" w:styleId="IntenseReference">
    <w:name w:val="Intense Reference"/>
    <w:basedOn w:val="DefaultParagraphFont"/>
    <w:uiPriority w:val="99"/>
    <w:semiHidden/>
    <w:qFormat/>
    <w:rsid w:val="00065F18"/>
    <w:rPr>
      <w:rFonts w:ascii="Calibri" w:hAnsi="Calibri" w:cs="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cs="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lang w:eastAsia="en-US"/>
    </w:rPr>
  </w:style>
  <w:style w:type="character" w:customStyle="1" w:styleId="MacroTextChar">
    <w:name w:val="Macro Text Char"/>
    <w:basedOn w:val="DefaultParagraphFont"/>
    <w:link w:val="MacroText"/>
    <w:uiPriority w:val="99"/>
    <w:semiHidden/>
    <w:rsid w:val="00065F18"/>
    <w:rPr>
      <w:lang w:eastAsia="en-US"/>
    </w:rPr>
  </w:style>
  <w:style w:type="character" w:styleId="CommentReference">
    <w:name w:val="annotation reference"/>
    <w:basedOn w:val="DefaultParagraphFont"/>
    <w:uiPriority w:val="99"/>
    <w:semiHidden/>
    <w:rsid w:val="00065F18"/>
    <w:rPr>
      <w:rFonts w:ascii="Calibri" w:hAnsi="Calibri" w:cs="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291</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 Said-Majeed</dc:creator>
  <cp:keywords/>
  <dc:description/>
  <cp:lastModifiedBy>Asma Said-Majeed</cp:lastModifiedBy>
  <cp:revision>3</cp:revision>
  <dcterms:created xsi:type="dcterms:W3CDTF">2024-12-04T08:06:00Z</dcterms:created>
  <dcterms:modified xsi:type="dcterms:W3CDTF">2024-12-04T08:43:00Z</dcterms:modified>
</cp:coreProperties>
</file>