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eastAsia="Arial MT" w:hAnsi="Arial MT" w:cs="Arial MT"/>
          <w:b/>
          <w:sz w:val="18"/>
          <w:szCs w:val="16"/>
        </w:rPr>
      </w:pPr>
      <w:bookmarkStart w:id="0" w:name="_Hlk155961373"/>
      <w:r>
        <w:rPr>
          <w:rFonts w:hAnsi="Arial MT" w:cs="Arial MT"/>
          <w:b/>
          <w:sz w:val="18"/>
          <w:szCs w:val="16"/>
        </w:rPr>
        <w:br/>
      </w:r>
    </w:p>
    <w:p w14:paraId="3EC6C0E8" w14:textId="77777777" w:rsidR="0084774E" w:rsidRDefault="001D6A22" w:rsidP="00DB6166">
      <w:pPr>
        <w:widowControl w:val="0"/>
        <w:autoSpaceDE w:val="0"/>
        <w:autoSpaceDN w:val="0"/>
        <w:bidi/>
        <w:spacing w:before="230" w:after="280" w:line="240" w:lineRule="auto"/>
        <w:outlineLvl w:val="0"/>
        <w:rPr>
          <w:rFonts w:ascii="Acumin Pro" w:hAnsi="Acumin Pro" w:cs="Acumin Pro"/>
          <w:b/>
          <w:bCs/>
          <w:sz w:val="42"/>
          <w:szCs w:val="42"/>
          <w:rtl/>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sidRPr="005B58B9">
        <w:rPr>
          <w:rFonts w:ascii="Acumin Pro" w:hAnsi="Acumin Pro" w:cs="Acumin Pro"/>
          <w:b/>
          <w:bCs/>
          <w:sz w:val="42"/>
          <w:szCs w:val="42"/>
          <w:rtl/>
        </w:rPr>
        <w:t>تعمل الحكومة على تغيير القانون المعني بحماية نيوزيلندا من</w:t>
      </w:r>
    </w:p>
    <w:p w14:paraId="65C865B4" w14:textId="205D8512" w:rsidR="001D6A22" w:rsidRPr="005B58B9" w:rsidRDefault="001D6A22" w:rsidP="0084774E">
      <w:pPr>
        <w:widowControl w:val="0"/>
        <w:autoSpaceDE w:val="0"/>
        <w:autoSpaceDN w:val="0"/>
        <w:bidi/>
        <w:spacing w:before="230" w:after="280" w:line="240" w:lineRule="auto"/>
        <w:outlineLvl w:val="0"/>
        <w:rPr>
          <w:rFonts w:ascii="Acumin Pro" w:eastAsia="Arial" w:hAnsi="Acumin Pro" w:cs="Acumin Pro"/>
          <w:b/>
          <w:bCs/>
          <w:sz w:val="42"/>
          <w:szCs w:val="42"/>
        </w:rPr>
      </w:pPr>
      <w:r w:rsidRPr="005B58B9">
        <w:rPr>
          <w:rFonts w:ascii="Acumin Pro" w:hAnsi="Acumin Pro" w:cs="Acumin Pro"/>
          <w:b/>
          <w:bCs/>
          <w:sz w:val="42"/>
          <w:szCs w:val="42"/>
          <w:rtl/>
        </w:rPr>
        <w:t xml:space="preserve"> التدخل الأجنبي </w:t>
      </w:r>
    </w:p>
    <w:p w14:paraId="1EE3A517" w14:textId="0C88707D" w:rsidR="001D6A22" w:rsidRPr="005B58B9" w:rsidRDefault="001D6A22" w:rsidP="006A3BD0">
      <w:pPr>
        <w:widowControl w:val="0"/>
        <w:autoSpaceDE w:val="0"/>
        <w:autoSpaceDN w:val="0"/>
        <w:bidi/>
        <w:spacing w:before="230" w:after="280" w:line="240" w:lineRule="auto"/>
        <w:outlineLvl w:val="0"/>
        <w:rPr>
          <w:rFonts w:ascii="Acumin Pro" w:eastAsia="Arial" w:hAnsi="Acumin Pro" w:cs="Acumin Pro"/>
          <w:b/>
          <w:bCs/>
          <w:sz w:val="32"/>
          <w:szCs w:val="32"/>
        </w:rPr>
      </w:pPr>
      <w:r w:rsidRPr="005B58B9">
        <w:rPr>
          <w:rFonts w:ascii="Acumin Pro" w:hAnsi="Acumin Pro" w:cs="Acumin Pro"/>
          <w:b/>
          <w:bCs/>
          <w:sz w:val="32"/>
          <w:szCs w:val="32"/>
          <w:rtl/>
        </w:rPr>
        <w:t>يمكنك إبداء رأيك بشأن هذا التغيير</w:t>
      </w:r>
      <w:r w:rsidR="006A3BD0" w:rsidRPr="005B58B9">
        <w:rPr>
          <w:rFonts w:ascii="Acumin Pro" w:hAnsi="Acumin Pro" w:cs="Acumin Pro"/>
          <w:b/>
          <w:bCs/>
          <w:sz w:val="32"/>
          <w:szCs w:val="32"/>
          <w:rtl/>
        </w:rPr>
        <w:br/>
      </w:r>
      <w:r w:rsidRPr="005B58B9">
        <w:rPr>
          <w:rFonts w:ascii="Acumin Pro" w:hAnsi="Acumin Pro" w:cs="Acumin Pro"/>
          <w:sz w:val="32"/>
          <w:szCs w:val="32"/>
          <w:rtl/>
        </w:rPr>
        <w:t xml:space="preserve"> توضح المعلومات أدناه ما تقوم به الحكومة وكيف يمكنك المشاركة.</w:t>
      </w:r>
      <w:r w:rsidR="0063373B" w:rsidRPr="005B58B9">
        <w:rPr>
          <w:rFonts w:ascii="Acumin Pro" w:hAnsi="Acumin Pro" w:cs="Acumin Pro"/>
          <w:sz w:val="32"/>
          <w:szCs w:val="32"/>
          <w:rtl/>
        </w:rPr>
        <w:br/>
      </w:r>
    </w:p>
    <w:p w14:paraId="10A47AFB" w14:textId="1FE6F67C" w:rsidR="00E25164" w:rsidRPr="005B58B9" w:rsidRDefault="00E25164" w:rsidP="006A3BD0">
      <w:pPr>
        <w:widowControl w:val="0"/>
        <w:autoSpaceDE w:val="0"/>
        <w:autoSpaceDN w:val="0"/>
        <w:bidi/>
        <w:spacing w:before="230" w:after="160"/>
        <w:outlineLvl w:val="0"/>
        <w:rPr>
          <w:rFonts w:ascii="Acumin Pro" w:eastAsia="Arial" w:hAnsi="Acumin Pro" w:cs="Acumin Pro"/>
          <w:b/>
          <w:bCs/>
          <w:sz w:val="30"/>
          <w:szCs w:val="30"/>
        </w:rPr>
      </w:pPr>
      <w:r w:rsidRPr="005B58B9">
        <w:rPr>
          <w:rFonts w:ascii="Acumin Pro" w:hAnsi="Acumin Pro" w:cs="Acumin Pro"/>
          <w:b/>
          <w:bCs/>
          <w:sz w:val="30"/>
          <w:szCs w:val="30"/>
          <w:rtl/>
        </w:rPr>
        <w:t>ماذا يحدث؟</w:t>
      </w:r>
    </w:p>
    <w:p w14:paraId="02FC64C0" w14:textId="2580F34A" w:rsidR="00170F21" w:rsidRPr="005B58B9" w:rsidRDefault="00170F21"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 xml:space="preserve">تعمل الحكومة على تعزيز القانون الجنائي لمساعدة الشرطة والوكالات الأخرى على الاستجابة للتدخل الأجنبي. </w:t>
      </w:r>
    </w:p>
    <w:p w14:paraId="0AA48936" w14:textId="6530A2E6" w:rsidR="002B3633" w:rsidRPr="005B58B9" w:rsidRDefault="002B3633"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 xml:space="preserve">تتم هذه التغييرات بموجب </w:t>
      </w:r>
      <w:r w:rsidR="00170F21" w:rsidRPr="005B58B9">
        <w:rPr>
          <w:rFonts w:ascii="Acumin Pro" w:hAnsi="Acumin Pro" w:cs="Acumin Pro"/>
          <w:b/>
          <w:bCs/>
          <w:sz w:val="24"/>
          <w:szCs w:val="24"/>
          <w:rtl/>
        </w:rPr>
        <w:t>مسودة تعديل قانون الجرائم (مكافحة التدخل الأجنبي)</w:t>
      </w:r>
      <w:r w:rsidRPr="005B58B9">
        <w:rPr>
          <w:rFonts w:ascii="Acumin Pro" w:hAnsi="Acumin Pro" w:cs="Acumin Pro"/>
          <w:sz w:val="24"/>
          <w:szCs w:val="24"/>
          <w:rtl/>
        </w:rPr>
        <w:t>.</w:t>
      </w:r>
    </w:p>
    <w:p w14:paraId="7BBE72E0" w14:textId="77777777" w:rsidR="006A3BD0" w:rsidRPr="005B58B9" w:rsidRDefault="002B3633" w:rsidP="006A3BD0">
      <w:pPr>
        <w:pStyle w:val="ListBullet"/>
        <w:numPr>
          <w:ilvl w:val="0"/>
          <w:numId w:val="0"/>
        </w:numPr>
        <w:bidi/>
        <w:spacing w:after="240"/>
        <w:contextualSpacing w:val="0"/>
        <w:rPr>
          <w:rFonts w:ascii="Acumin Pro" w:hAnsi="Acumin Pro" w:cs="Acumin Pro"/>
          <w:sz w:val="24"/>
          <w:szCs w:val="24"/>
        </w:rPr>
      </w:pPr>
      <w:r w:rsidRPr="005B58B9">
        <w:rPr>
          <w:rFonts w:ascii="Acumin Pro" w:hAnsi="Acumin Pro" w:cs="Acumin Pro"/>
          <w:sz w:val="24"/>
          <w:szCs w:val="24"/>
          <w:rtl/>
        </w:rPr>
        <w:t>وتنظر لجنة العدل البرلمانية المختارة حاليا في مسودة القانون. وسوف تقدم اللجنة توصيات حول كيفية تحسين مسودة القانون قبل أن يصبح قانونا.</w:t>
      </w:r>
    </w:p>
    <w:p w14:paraId="04815E26" w14:textId="31328FAB" w:rsidR="002B3633" w:rsidRPr="005B58B9" w:rsidRDefault="006A3BD0" w:rsidP="006A3BD0">
      <w:pPr>
        <w:pStyle w:val="ListBullet"/>
        <w:numPr>
          <w:ilvl w:val="0"/>
          <w:numId w:val="0"/>
        </w:numPr>
        <w:bidi/>
        <w:spacing w:after="240"/>
        <w:contextualSpacing w:val="0"/>
        <w:rPr>
          <w:rFonts w:ascii="Acumin Pro" w:hAnsi="Acumin Pro" w:cs="Acumin Pro"/>
          <w:sz w:val="30"/>
          <w:szCs w:val="30"/>
        </w:rPr>
      </w:pPr>
      <w:r w:rsidRPr="006A3BD0">
        <w:rPr>
          <w:rFonts w:ascii="Acumin Pro" w:hAnsi="Acumin Pro" w:cs="Acumin Pro"/>
          <w:b/>
          <w:bCs/>
          <w:sz w:val="26"/>
          <w:szCs w:val="26"/>
          <w:rtl/>
        </w:rPr>
        <w:br/>
      </w:r>
      <w:r w:rsidRPr="005B58B9">
        <w:rPr>
          <w:rFonts w:ascii="Acumin Pro" w:hAnsi="Acumin Pro" w:cs="Acumin Pro"/>
          <w:b/>
          <w:bCs/>
          <w:sz w:val="30"/>
          <w:szCs w:val="30"/>
          <w:rtl/>
        </w:rPr>
        <w:t>ما هو التدخل الأجنبي؟</w:t>
      </w:r>
    </w:p>
    <w:p w14:paraId="214DAFD9" w14:textId="49BC0407" w:rsidR="00463A00" w:rsidRPr="005B58B9" w:rsidRDefault="00463A00"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التدخل الأجنبي هو عندما تسعى حكومة أجنبية للتدخل في شؤون نيوزيلندا بأساليب سرية أو قسرية أو مخادعة. هذا النشاط ضار بنيوزيلندا ومجتمعاتنا.</w:t>
      </w:r>
    </w:p>
    <w:p w14:paraId="4B02C244" w14:textId="0AFFC816" w:rsidR="0024338C" w:rsidRPr="005B58B9" w:rsidRDefault="00A0136B"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ويمكن أن يؤثر التدخل الأجنبي على البلد بأكمله. على سبيل المثال، يمكن أن يصل تأثيره على الأمن القومي، أو الاقتصاد، أو على انتخاباتنا، أو قرارات الحكومة.</w:t>
      </w:r>
    </w:p>
    <w:p w14:paraId="289A720F" w14:textId="608C6D0F" w:rsidR="00463A00" w:rsidRPr="005B58B9" w:rsidRDefault="004029F8"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ويمكن أن يؤثر هذا التدخل أيضًا على الأفراد والمجتمعات. يمكن أن تؤدي هذه الأفعال إلى زرع شعور عدم الأمان أو الخوف لبعض الأشخاص وامتناعهم من فعل أو قول أشياء بسبب ما قد تفعله حكومة أجنبية لهم أو لعائلاتهم. هذا الأمر ليس مقبولاً لأن الأشخاص يتمتعون بظل قوانيننا بحقوق وحريات، ولا ينبغي للحكومات الأجنبية أن تحاول السيطرة على أنشطة الناس هنا.</w:t>
      </w:r>
      <w:r w:rsidR="0063373B" w:rsidRPr="005B58B9">
        <w:rPr>
          <w:rFonts w:ascii="Acumin Pro" w:hAnsi="Acumin Pro" w:cs="Acumin Pro"/>
          <w:sz w:val="24"/>
          <w:szCs w:val="24"/>
          <w:rtl/>
        </w:rPr>
        <w:br/>
      </w:r>
      <w:r w:rsidR="006A3BD0" w:rsidRPr="005B58B9">
        <w:rPr>
          <w:rFonts w:ascii="Acumin Pro" w:hAnsi="Acumin Pro" w:cs="Acumin Pro"/>
          <w:sz w:val="24"/>
          <w:szCs w:val="24"/>
          <w:rtl/>
        </w:rPr>
        <w:br/>
      </w:r>
    </w:p>
    <w:p w14:paraId="423F1651" w14:textId="77777777" w:rsidR="006A3BD0" w:rsidRDefault="006A3BD0" w:rsidP="006A3BD0">
      <w:pPr>
        <w:rPr>
          <w:rFonts w:ascii="Acumin Pro" w:eastAsia="Arial" w:hAnsi="Acumin Pro" w:cs="Acumin Pro"/>
          <w:b/>
          <w:bCs/>
          <w:sz w:val="26"/>
          <w:szCs w:val="26"/>
        </w:rPr>
      </w:pPr>
      <w:r>
        <w:rPr>
          <w:rFonts w:ascii="Acumin Pro" w:hAnsi="Acumin Pro" w:cs="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5B58B9" w:rsidRDefault="002B3633" w:rsidP="006A3BD0">
      <w:pPr>
        <w:widowControl w:val="0"/>
        <w:autoSpaceDE w:val="0"/>
        <w:autoSpaceDN w:val="0"/>
        <w:bidi/>
        <w:spacing w:before="230" w:after="160"/>
        <w:outlineLvl w:val="0"/>
        <w:rPr>
          <w:rFonts w:ascii="Acumin Pro" w:eastAsia="Arial" w:hAnsi="Acumin Pro" w:cs="Acumin Pro"/>
          <w:b/>
          <w:bCs/>
          <w:sz w:val="30"/>
          <w:szCs w:val="30"/>
        </w:rPr>
      </w:pPr>
      <w:r w:rsidRPr="005B58B9">
        <w:rPr>
          <w:rFonts w:ascii="Acumin Pro" w:hAnsi="Acumin Pro" w:cs="Acumin Pro"/>
          <w:b/>
          <w:bCs/>
          <w:sz w:val="30"/>
          <w:szCs w:val="30"/>
          <w:rtl/>
        </w:rPr>
        <w:t>كيف يتم تغيير القانون حاليا؟</w:t>
      </w:r>
      <w:bookmarkStart w:id="6" w:name="PaperTitle2"/>
      <w:bookmarkEnd w:id="0"/>
      <w:bookmarkEnd w:id="6"/>
    </w:p>
    <w:p w14:paraId="12ED600D" w14:textId="7750E2BD" w:rsidR="00E45325" w:rsidRPr="005B58B9" w:rsidRDefault="00E45325"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التدخل الأجنبي من أي بلد ضد نيوزيلندا أمر غير مقبول به.</w:t>
      </w:r>
    </w:p>
    <w:p w14:paraId="4D2263B1" w14:textId="78571238" w:rsidR="00C05069" w:rsidRPr="005B58B9" w:rsidRDefault="005B494F"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 xml:space="preserve">ستعتبر النصوص القانونية الجديدة جرائم التدخل الأجنبي والأنشطة الضارة الأخرى غير قانونية. وستعامل هذه بكونها من أخطر الجرائم في نيوزيلندا. كما يجري تغيير </w:t>
      </w:r>
      <w:r w:rsidR="00BB1D41">
        <w:rPr>
          <w:rFonts w:ascii="Acumin Pro" w:hAnsi="Acumin Pro" w:cs="Acumin Pro" w:hint="cs"/>
          <w:sz w:val="24"/>
          <w:szCs w:val="24"/>
          <w:rtl/>
        </w:rPr>
        <w:t>قوانين</w:t>
      </w:r>
      <w:r w:rsidRPr="005B58B9">
        <w:rPr>
          <w:rFonts w:ascii="Acumin Pro" w:hAnsi="Acumin Pro" w:cs="Acumin Pro"/>
          <w:sz w:val="24"/>
          <w:szCs w:val="24"/>
          <w:rtl/>
        </w:rPr>
        <w:t xml:space="preserve"> الجرائم الحالية لحماية المعلومات الحكومية الحساسة بشكل أفضل. </w:t>
      </w:r>
    </w:p>
    <w:p w14:paraId="459D0AAB" w14:textId="7D4EF82B" w:rsidR="0063373B" w:rsidRPr="005B58B9" w:rsidRDefault="000406C8" w:rsidP="006A3BD0">
      <w:pPr>
        <w:pStyle w:val="ListBullet"/>
        <w:numPr>
          <w:ilvl w:val="0"/>
          <w:numId w:val="0"/>
        </w:numPr>
        <w:bidi/>
        <w:spacing w:after="240"/>
        <w:contextualSpacing w:val="0"/>
        <w:rPr>
          <w:rFonts w:ascii="Acumin Pro" w:hAnsi="Acumin Pro" w:cs="Acumin Pro"/>
          <w:sz w:val="24"/>
          <w:szCs w:val="24"/>
        </w:rPr>
      </w:pPr>
      <w:r w:rsidRPr="005B58B9">
        <w:rPr>
          <w:rFonts w:ascii="Acumin Pro" w:hAnsi="Acumin Pro" w:cs="Acumin Pro"/>
          <w:sz w:val="24"/>
          <w:szCs w:val="24"/>
          <w:rtl/>
        </w:rPr>
        <w:t xml:space="preserve">وما ستعنيه هذه التغييرات أن الأشخاص الذين يقومون بأنشطة ضارة لصالح حكومة أجنبية يمكن إيقافهم ومعاقبتهم بموجب قانوننا الجنائي. </w:t>
      </w:r>
    </w:p>
    <w:p w14:paraId="6BAA16A1" w14:textId="09480130" w:rsidR="0079603C" w:rsidRPr="005B58B9" w:rsidRDefault="006A3BD0" w:rsidP="006A3BD0">
      <w:pPr>
        <w:pStyle w:val="ListBullet"/>
        <w:numPr>
          <w:ilvl w:val="0"/>
          <w:numId w:val="0"/>
        </w:numPr>
        <w:bidi/>
        <w:contextualSpacing w:val="0"/>
        <w:rPr>
          <w:rFonts w:ascii="Acumin Pro" w:hAnsi="Acumin Pro" w:cs="Acumin Pro"/>
          <w:b/>
          <w:bCs/>
          <w:sz w:val="30"/>
          <w:szCs w:val="30"/>
        </w:rPr>
      </w:pPr>
      <w:r w:rsidRPr="005B58B9">
        <w:rPr>
          <w:rFonts w:ascii="Acumin Pro" w:hAnsi="Acumin Pro" w:cs="Acumin Pro"/>
          <w:b/>
          <w:bCs/>
          <w:sz w:val="30"/>
          <w:szCs w:val="30"/>
          <w:rtl/>
        </w:rPr>
        <w:br/>
        <w:t>كيف يمكنني أن أبدي رأيي؟</w:t>
      </w:r>
    </w:p>
    <w:p w14:paraId="74C54DBD" w14:textId="56530762" w:rsidR="00A93854" w:rsidRPr="005B58B9" w:rsidRDefault="00912A95"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تطلب لجنة العدل البرلمانية المختارة من عامة أفراد الشعب مشاركة آرائهم حول مسودة القانون من خلال "الدعوة إلى تقديم العرائض". ويحدث هذا على مدى عدد محدد من الأيام عندما تنظر اللجنة في مسودة القانون.</w:t>
      </w:r>
    </w:p>
    <w:p w14:paraId="7F71D7F2" w14:textId="3BA979F8" w:rsidR="00B61F0C" w:rsidRDefault="00B57313" w:rsidP="00B61F0C">
      <w:pPr>
        <w:pStyle w:val="ListBullet"/>
        <w:numPr>
          <w:ilvl w:val="0"/>
          <w:numId w:val="0"/>
        </w:numPr>
        <w:bidi/>
        <w:spacing w:after="160"/>
        <w:contextualSpacing w:val="0"/>
        <w:rPr>
          <w:rStyle w:val="Hyperlink"/>
          <w:rFonts w:ascii="Acumin Pro" w:hAnsi="Acumin Pro" w:cs="Acumin Pro"/>
        </w:rPr>
      </w:pPr>
      <w:r w:rsidRPr="005B58B9">
        <w:rPr>
          <w:rFonts w:ascii="Acumin Pro" w:hAnsi="Acumin Pro" w:cs="Acumin Pro"/>
          <w:sz w:val="24"/>
          <w:szCs w:val="24"/>
          <w:rtl/>
        </w:rPr>
        <w:t xml:space="preserve">يمكن العثور على مزيد من المعلومات حول مسودة القانون وكيفية تقديم العرائض عبر الإنترنت من خلال: </w:t>
      </w:r>
    </w:p>
    <w:p w14:paraId="12C557D1" w14:textId="615BE88A" w:rsidR="00B61F0C" w:rsidRPr="00B61F0C" w:rsidRDefault="00B61F0C" w:rsidP="00B61F0C">
      <w:pPr>
        <w:pStyle w:val="ListBullet"/>
        <w:numPr>
          <w:ilvl w:val="0"/>
          <w:numId w:val="0"/>
        </w:numPr>
        <w:bidi/>
        <w:spacing w:after="160"/>
        <w:contextualSpacing w:val="0"/>
        <w:rPr>
          <w:rFonts w:asciiTheme="minorHAnsi" w:hAnsiTheme="minorHAnsi" w:cstheme="minorHAnsi"/>
          <w:color w:val="0000FF"/>
          <w:u w:val="single"/>
        </w:rPr>
      </w:pPr>
      <w:hyperlink r:id="rId8" w:history="1">
        <w:r w:rsidRPr="00B61F0C">
          <w:rPr>
            <w:rStyle w:val="Hyperlink"/>
            <w:rFonts w:asciiTheme="minorHAnsi" w:hAnsiTheme="minorHAnsi" w:cstheme="minorHAnsi"/>
          </w:rPr>
          <w:t>https://bills.parliament.nz/v/6/5c7f002d-e4b4-4573-5563-08dd042d0cd2?Tab=history</w:t>
        </w:r>
      </w:hyperlink>
    </w:p>
    <w:p w14:paraId="38BF6CAB" w14:textId="09EEF200" w:rsidR="00E4138C" w:rsidRPr="00B61F0C" w:rsidRDefault="00B57313" w:rsidP="00B61F0C">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 xml:space="preserve"> </w:t>
      </w:r>
    </w:p>
    <w:p w14:paraId="15324667" w14:textId="380620A5" w:rsidR="00D575DB" w:rsidRPr="005B58B9" w:rsidRDefault="00565980" w:rsidP="006A3BD0">
      <w:pPr>
        <w:pStyle w:val="ListBullet"/>
        <w:numPr>
          <w:ilvl w:val="0"/>
          <w:numId w:val="0"/>
        </w:numPr>
        <w:bidi/>
        <w:spacing w:after="160"/>
        <w:contextualSpacing w:val="0"/>
        <w:rPr>
          <w:rFonts w:ascii="Acumin Pro" w:hAnsi="Acumin Pro" w:cs="Acumin Pro"/>
          <w:sz w:val="24"/>
          <w:szCs w:val="24"/>
        </w:rPr>
      </w:pPr>
      <w:r w:rsidRPr="005B58B9">
        <w:rPr>
          <w:rFonts w:ascii="Acumin Pro" w:hAnsi="Acumin Pro" w:cs="Acumin Pro"/>
          <w:sz w:val="24"/>
          <w:szCs w:val="24"/>
          <w:rtl/>
        </w:rPr>
        <w:t xml:space="preserve">وعادة ما تتيح اللجنة فرصة تقديم العرائض للمواطنين من خلال موقع البرلمان على الإنترنت. قبل تقديم عريضتك، يمكنك أن تطلب من اللجنة إبقاءها سرية إذا لم تكن ترغب بإعلانها. سوف تحتاج إلى موافقة اللجنة قبل تقديم عريضتك. </w:t>
      </w:r>
    </w:p>
    <w:p w14:paraId="3456F9B6" w14:textId="725D2D59" w:rsidR="00B61F0C" w:rsidRPr="002B6E8B" w:rsidRDefault="00410744" w:rsidP="00B61F0C">
      <w:pPr>
        <w:pStyle w:val="ListBullet"/>
        <w:numPr>
          <w:ilvl w:val="0"/>
          <w:numId w:val="0"/>
        </w:numPr>
        <w:bidi/>
        <w:spacing w:after="0"/>
        <w:contextualSpacing w:val="0"/>
        <w:rPr>
          <w:rFonts w:asciiTheme="minorHAnsi" w:hAnsiTheme="minorHAnsi" w:cstheme="minorHAnsi"/>
        </w:rPr>
      </w:pPr>
      <w:r w:rsidRPr="005B58B9">
        <w:rPr>
          <w:rFonts w:ascii="Acumin Pro" w:hAnsi="Acumin Pro" w:cs="Acumin Pro"/>
          <w:sz w:val="24"/>
          <w:szCs w:val="24"/>
          <w:rtl/>
        </w:rPr>
        <w:t>وتوجد على موقع وزارة العدل أيضا معلومات حول التدخل الأجنبي ومسودة القانون وكيف يمكنك إبلاغ الوكالات الحكومية عن التدخلات الأجنبية. يمكن العثور على هذه المعلومات من خلال قسم "مكافحة التدخلات الأجنبية" على صفحة المبادرات الرئيسية للوزارة</w:t>
      </w:r>
      <w:r w:rsidRPr="005B58B9">
        <w:rPr>
          <w:rFonts w:ascii="Acumin Pro" w:hAnsi="Acumin Pro" w:cs="Acumin Pro"/>
          <w:rtl/>
        </w:rPr>
        <w:t xml:space="preserve">: </w:t>
      </w:r>
      <w:hyperlink r:id="rId9" w:tgtFrame="_blank" w:history="1">
        <w:r w:rsidR="00B61F0C" w:rsidRPr="00B61F0C">
          <w:rPr>
            <w:rStyle w:val="Hyperlink"/>
            <w:rFonts w:asciiTheme="minorHAnsi" w:hAnsiTheme="minorHAnsi" w:cstheme="minorHAnsi"/>
          </w:rPr>
          <w:t>https://www.justice.govt.nz/justice-sector-policy/key-initiatives/countering-foreign-interference</w:t>
        </w:r>
      </w:hyperlink>
    </w:p>
    <w:p w14:paraId="13CCD6BE" w14:textId="77777777" w:rsidR="00B61F0C" w:rsidRPr="00B61F0C" w:rsidRDefault="00B61F0C" w:rsidP="00B61F0C">
      <w:pPr>
        <w:pStyle w:val="ListBullet"/>
        <w:numPr>
          <w:ilvl w:val="0"/>
          <w:numId w:val="0"/>
        </w:numPr>
        <w:bidi/>
        <w:spacing w:after="0"/>
        <w:contextualSpacing w:val="0"/>
        <w:rPr>
          <w:rFonts w:ascii="Acumin Pro" w:hAnsi="Acumin Pro" w:cs="Acumin Pro"/>
        </w:rPr>
      </w:pPr>
    </w:p>
    <w:p w14:paraId="45EFCD71" w14:textId="6BD2DF09" w:rsidR="009C20E9" w:rsidRPr="005B58B9" w:rsidRDefault="009C20E9" w:rsidP="008B62E0">
      <w:pPr>
        <w:pStyle w:val="ListBullet"/>
        <w:numPr>
          <w:ilvl w:val="0"/>
          <w:numId w:val="0"/>
        </w:numPr>
        <w:contextualSpacing w:val="0"/>
        <w:rPr>
          <w:rFonts w:ascii="Acumin Pro" w:hAnsi="Acumin Pro" w:cs="Acumin Pro"/>
          <w:sz w:val="24"/>
          <w:szCs w:val="24"/>
        </w:rPr>
      </w:pPr>
    </w:p>
    <w:sectPr w:rsidR="009C20E9" w:rsidRPr="005B58B9"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40179" w14:textId="77777777" w:rsidR="008B3B98" w:rsidRDefault="008B3B98" w:rsidP="00863861">
      <w:pPr>
        <w:spacing w:after="0" w:line="240" w:lineRule="auto"/>
      </w:pPr>
      <w:r>
        <w:separator/>
      </w:r>
    </w:p>
  </w:endnote>
  <w:endnote w:type="continuationSeparator" w:id="0">
    <w:p w14:paraId="5E4B4E54" w14:textId="77777777" w:rsidR="008B3B98" w:rsidRDefault="008B3B98" w:rsidP="00863861">
      <w:pPr>
        <w:spacing w:after="0" w:line="240" w:lineRule="auto"/>
      </w:pPr>
      <w:r>
        <w:continuationSeparator/>
      </w:r>
    </w:p>
  </w:endnote>
  <w:endnote w:type="continuationNotice" w:id="1">
    <w:p w14:paraId="125FECAD" w14:textId="77777777" w:rsidR="008B3B98" w:rsidRDefault="008B3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8033" w14:textId="77777777" w:rsidR="008B3B98" w:rsidRDefault="008B3B98" w:rsidP="00863861">
      <w:pPr>
        <w:spacing w:after="0" w:line="240" w:lineRule="auto"/>
      </w:pPr>
      <w:r>
        <w:separator/>
      </w:r>
    </w:p>
  </w:footnote>
  <w:footnote w:type="continuationSeparator" w:id="0">
    <w:p w14:paraId="49A63D3A" w14:textId="77777777" w:rsidR="008B3B98" w:rsidRDefault="008B3B98" w:rsidP="00863861">
      <w:pPr>
        <w:spacing w:after="0" w:line="240" w:lineRule="auto"/>
      </w:pPr>
      <w:r>
        <w:continuationSeparator/>
      </w:r>
    </w:p>
  </w:footnote>
  <w:footnote w:type="continuationNotice" w:id="1">
    <w:p w14:paraId="35BD46F0" w14:textId="77777777" w:rsidR="008B3B98" w:rsidRDefault="008B3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cs="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cs="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en-US"/>
      </w:rPr>
    </w:lvl>
    <w:lvl w:ilvl="1" w:tplc="31D4FFE0">
      <w:numFmt w:val="bullet"/>
      <w:lvlText w:val="•"/>
      <w:lvlJc w:val="left"/>
      <w:pPr>
        <w:ind w:left="1427" w:hanging="540"/>
      </w:pPr>
      <w:rPr>
        <w:rFonts w:hint="default"/>
        <w:lang w:val="en-US" w:eastAsia="en-US"/>
      </w:rPr>
    </w:lvl>
    <w:lvl w:ilvl="2" w:tplc="E2A2FEFE">
      <w:numFmt w:val="bullet"/>
      <w:lvlText w:val="•"/>
      <w:lvlJc w:val="left"/>
      <w:pPr>
        <w:ind w:left="2214" w:hanging="540"/>
      </w:pPr>
      <w:rPr>
        <w:rFonts w:hint="default"/>
        <w:lang w:val="en-US" w:eastAsia="en-US"/>
      </w:rPr>
    </w:lvl>
    <w:lvl w:ilvl="3" w:tplc="FCBC61EC">
      <w:numFmt w:val="bullet"/>
      <w:lvlText w:val="•"/>
      <w:lvlJc w:val="left"/>
      <w:pPr>
        <w:ind w:left="3001" w:hanging="540"/>
      </w:pPr>
      <w:rPr>
        <w:rFonts w:hint="default"/>
        <w:lang w:val="en-US" w:eastAsia="en-US"/>
      </w:rPr>
    </w:lvl>
    <w:lvl w:ilvl="4" w:tplc="0A5A7D30">
      <w:numFmt w:val="bullet"/>
      <w:lvlText w:val="•"/>
      <w:lvlJc w:val="left"/>
      <w:pPr>
        <w:ind w:left="3788" w:hanging="540"/>
      </w:pPr>
      <w:rPr>
        <w:rFonts w:hint="default"/>
        <w:lang w:val="en-US" w:eastAsia="en-US"/>
      </w:rPr>
    </w:lvl>
    <w:lvl w:ilvl="5" w:tplc="17A2EA92">
      <w:numFmt w:val="bullet"/>
      <w:lvlText w:val="•"/>
      <w:lvlJc w:val="left"/>
      <w:pPr>
        <w:ind w:left="4576" w:hanging="540"/>
      </w:pPr>
      <w:rPr>
        <w:rFonts w:hint="default"/>
        <w:lang w:val="en-US" w:eastAsia="en-US"/>
      </w:rPr>
    </w:lvl>
    <w:lvl w:ilvl="6" w:tplc="8384BF18">
      <w:numFmt w:val="bullet"/>
      <w:lvlText w:val="•"/>
      <w:lvlJc w:val="left"/>
      <w:pPr>
        <w:ind w:left="5363" w:hanging="540"/>
      </w:pPr>
      <w:rPr>
        <w:rFonts w:hint="default"/>
        <w:lang w:val="en-US" w:eastAsia="en-US"/>
      </w:rPr>
    </w:lvl>
    <w:lvl w:ilvl="7" w:tplc="7FB267F8">
      <w:numFmt w:val="bullet"/>
      <w:lvlText w:val="•"/>
      <w:lvlJc w:val="left"/>
      <w:pPr>
        <w:ind w:left="6150" w:hanging="540"/>
      </w:pPr>
      <w:rPr>
        <w:rFonts w:hint="default"/>
        <w:lang w:val="en-US" w:eastAsia="en-US"/>
      </w:rPr>
    </w:lvl>
    <w:lvl w:ilvl="8" w:tplc="2F7E4560">
      <w:numFmt w:val="bullet"/>
      <w:lvlText w:val="•"/>
      <w:lvlJc w:val="left"/>
      <w:pPr>
        <w:ind w:left="6937" w:hanging="540"/>
      </w:pPr>
      <w:rPr>
        <w:rFonts w:hint="default"/>
        <w:lang w:val="en-US" w:eastAsia="en-US"/>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cs="Symbol" w:hint="default"/>
        <w:w w:val="100"/>
        <w:sz w:val="24"/>
        <w:szCs w:val="24"/>
        <w:lang w:val="en-US" w:eastAsia="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cs="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cs="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cs="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cs="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cs="Wingdings" w:hint="default"/>
      </w:rPr>
    </w:lvl>
    <w:lvl w:ilvl="3" w:tplc="14090001" w:tentative="1">
      <w:start w:val="1"/>
      <w:numFmt w:val="bullet"/>
      <w:lvlText w:val=""/>
      <w:lvlJc w:val="left"/>
      <w:pPr>
        <w:ind w:left="5400" w:hanging="360"/>
      </w:pPr>
      <w:rPr>
        <w:rFonts w:ascii="Symbol" w:hAnsi="Symbol" w:cs="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cs="Wingdings" w:hint="default"/>
      </w:rPr>
    </w:lvl>
    <w:lvl w:ilvl="6" w:tplc="14090001" w:tentative="1">
      <w:start w:val="1"/>
      <w:numFmt w:val="bullet"/>
      <w:lvlText w:val=""/>
      <w:lvlJc w:val="left"/>
      <w:pPr>
        <w:ind w:left="7560" w:hanging="360"/>
      </w:pPr>
      <w:rPr>
        <w:rFonts w:ascii="Symbol" w:hAnsi="Symbol" w:cs="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cs="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cs="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cs="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cs="Symbol" w:hint="default"/>
      </w:rPr>
    </w:lvl>
    <w:lvl w:ilvl="1">
      <w:start w:val="1"/>
      <w:numFmt w:val="bullet"/>
      <w:lvlRestart w:val="0"/>
      <w:pStyle w:val="MOJBulletLevel2"/>
      <w:lvlText w:val="○"/>
      <w:lvlJc w:val="left"/>
      <w:pPr>
        <w:tabs>
          <w:tab w:val="num" w:pos="2126"/>
        </w:tabs>
        <w:ind w:left="2126" w:hanging="708"/>
      </w:pPr>
      <w:rPr>
        <w:rFonts w:ascii="Times New Roman" w:hAnsi="Times New Roman" w:cs="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cs="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925"/>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2BA"/>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61"/>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2F6F"/>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4F74"/>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29E0"/>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AE0"/>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6C"/>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58B9"/>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4774E"/>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B98"/>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803"/>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623"/>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5A6"/>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689"/>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6AFC"/>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1F0C"/>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1D41"/>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E23"/>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01A"/>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15:docId w15:val="{B8D43919-5E51-44F1-886A-FDD2511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cs="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cs="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cs="Arial"/>
      <w:b/>
      <w:sz w:val="24"/>
    </w:rPr>
  </w:style>
  <w:style w:type="character" w:customStyle="1" w:styleId="Heading2Char">
    <w:name w:val="Heading 2 Char"/>
    <w:basedOn w:val="DefaultParagraphFont"/>
    <w:link w:val="Heading2"/>
    <w:rsid w:val="007F17AC"/>
    <w:rPr>
      <w:rFonts w:ascii="Arial" w:hAnsi="Arial" w:cs="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Arial"/>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cs="Times New Roman"/>
      <w:b/>
      <w:bCs/>
      <w:sz w:val="28"/>
      <w:szCs w:val="28"/>
    </w:rPr>
  </w:style>
  <w:style w:type="character" w:customStyle="1" w:styleId="Heading5Char">
    <w:name w:val="Heading 5 Char"/>
    <w:basedOn w:val="DefaultParagraphFont"/>
    <w:link w:val="Heading5"/>
    <w:rsid w:val="006B13E8"/>
    <w:rPr>
      <w:rFonts w:ascii="Arial" w:hAnsi="Arial" w:cs="Arial"/>
      <w:b/>
      <w:bCs/>
      <w:i/>
      <w:iCs/>
      <w:sz w:val="26"/>
      <w:szCs w:val="26"/>
    </w:rPr>
  </w:style>
  <w:style w:type="character" w:customStyle="1" w:styleId="Heading6Char">
    <w:name w:val="Heading 6 Char"/>
    <w:basedOn w:val="DefaultParagraphFont"/>
    <w:link w:val="Heading6"/>
    <w:rsid w:val="006B13E8"/>
    <w:rPr>
      <w:rFonts w:ascii="Times New Roman" w:hAnsi="Times New Roman" w:cs="Times New Roman"/>
      <w:b/>
      <w:bCs/>
    </w:rPr>
  </w:style>
  <w:style w:type="character" w:customStyle="1" w:styleId="Heading7Char">
    <w:name w:val="Heading 7 Char"/>
    <w:basedOn w:val="DefaultParagraphFont"/>
    <w:link w:val="Heading7"/>
    <w:rsid w:val="006B13E8"/>
    <w:rPr>
      <w:rFonts w:ascii="Times New Roman" w:hAnsi="Times New Roman" w:cs="Times New Roman"/>
      <w:sz w:val="24"/>
    </w:rPr>
  </w:style>
  <w:style w:type="character" w:customStyle="1" w:styleId="Heading8Char">
    <w:name w:val="Heading 8 Char"/>
    <w:basedOn w:val="DefaultParagraphFont"/>
    <w:link w:val="Heading8"/>
    <w:rsid w:val="006B13E8"/>
    <w:rPr>
      <w:rFonts w:ascii="Times New Roman" w:hAnsi="Times New Roman" w:cs="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Arial"/>
      <w:color w:val="000000" w:themeColor="text1"/>
    </w:rPr>
  </w:style>
  <w:style w:type="character" w:customStyle="1" w:styleId="11NumChar">
    <w:name w:val="1.1 Num Char"/>
    <w:link w:val="11Num"/>
    <w:uiPriority w:val="6"/>
    <w:rsid w:val="00867739"/>
    <w:rPr>
      <w:rFonts w:ascii="Arial" w:eastAsia="Calibri" w:hAnsi="Arial" w:cs="Arial"/>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style>
  <w:style w:type="character" w:customStyle="1" w:styleId="MOJBodyTextChar">
    <w:name w:val="MOJ Body Text Char"/>
    <w:basedOn w:val="DefaultParagraphFont"/>
    <w:link w:val="MOJBodyText"/>
    <w:rsid w:val="00DD1493"/>
    <w:rPr>
      <w:rFonts w:ascii="Arial" w:hAnsi="Arial" w:cs="Arial"/>
    </w:rPr>
  </w:style>
  <w:style w:type="character" w:customStyle="1" w:styleId="MOJNumParaChar">
    <w:name w:val="MOJ Num Para Char"/>
    <w:basedOn w:val="MOJBodyTextChar"/>
    <w:link w:val="MOJNumPara"/>
    <w:rsid w:val="00DD1493"/>
    <w:rPr>
      <w:rFonts w:ascii="Arial" w:hAnsi="Arial" w:cs="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cs="Arial"/>
    </w:rPr>
  </w:style>
  <w:style w:type="character" w:customStyle="1" w:styleId="BulltetedListChar">
    <w:name w:val="Bullteted List Char"/>
    <w:basedOn w:val="ListParagraphChar"/>
    <w:link w:val="BulltetedList"/>
    <w:rsid w:val="008D1C49"/>
    <w:rPr>
      <w:rFonts w:ascii="Arial" w:hAnsi="Arial" w:cs="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Arial"/>
    </w:rPr>
  </w:style>
  <w:style w:type="character" w:customStyle="1" w:styleId="BulletedIndent2Char">
    <w:name w:val="Bulleted Indent 2 Char"/>
    <w:basedOn w:val="BulletedIndent1Char"/>
    <w:link w:val="BulletedIndent2"/>
    <w:rsid w:val="008D1C49"/>
    <w:rPr>
      <w:rFonts w:ascii="Arial" w:hAnsi="Arial" w:cs="Arial"/>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cs="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Said-Majeed</dc:creator>
  <cp:keywords/>
  <dc:description/>
  <cp:lastModifiedBy>Rory McKenzie</cp:lastModifiedBy>
  <cp:revision>8</cp:revision>
  <dcterms:created xsi:type="dcterms:W3CDTF">2024-12-04T07:31:00Z</dcterms:created>
  <dcterms:modified xsi:type="dcterms:W3CDTF">2024-12-12T23:49:00Z</dcterms:modified>
</cp:coreProperties>
</file>