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9D19" w14:textId="6090CDAD" w:rsidR="00BF20F0" w:rsidRPr="00BF20F0" w:rsidRDefault="00A330D3" w:rsidP="00BF20F0">
      <w:pPr>
        <w:bidi/>
        <w:rPr>
          <w:b/>
          <w:bCs/>
          <w:color w:val="1F546B" w:themeColor="text2"/>
          <w:kern w:val="32"/>
          <w:sz w:val="56"/>
          <w:szCs w:val="56"/>
          <w:lang w:val="en-US"/>
        </w:rPr>
      </w:pPr>
      <w:r w:rsidRPr="00BF20F0">
        <w:rPr>
          <w:b/>
          <w:bCs/>
          <w:color w:val="1F546B" w:themeColor="text2"/>
          <w:kern w:val="32"/>
          <w:sz w:val="56"/>
          <w:szCs w:val="56"/>
          <w:rtl/>
        </w:rPr>
        <w:t xml:space="preserve">دراسات لحالات مأخوذة من بيئة التهديدات الأمنية لجهاز الأمن والاستخبارات النيوزيلندي في عام 2024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096E5A80">
                <wp:simplePos x="0" y="0"/>
                <wp:positionH relativeFrom="margin">
                  <wp:posOffset>0</wp:posOffset>
                </wp:positionH>
                <wp:positionV relativeFrom="paragraph">
                  <wp:posOffset>296607</wp:posOffset>
                </wp:positionV>
                <wp:extent cx="5873262" cy="1619250"/>
                <wp:effectExtent l="0" t="0" r="13335" b="19050"/>
                <wp:wrapNone/>
                <wp:docPr id="1956840727" name="Rectangle 1"/>
                <wp:cNvGraphicFramePr/>
                <a:graphic xmlns:a="http://schemas.openxmlformats.org/drawingml/2006/main">
                  <a:graphicData uri="http://schemas.microsoft.com/office/word/2010/wordprocessingShape">
                    <wps:wsp>
                      <wps:cNvSpPr/>
                      <wps:spPr>
                        <a:xfrm>
                          <a:off x="0" y="0"/>
                          <a:ext cx="5873262" cy="16192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02DE548D" w:rsidR="00A330D3" w:rsidRPr="00BF20F0" w:rsidRDefault="00A330D3" w:rsidP="005C2C59">
                            <w:pPr>
                              <w:bidi/>
                              <w:spacing w:after="180"/>
                              <w:rPr>
                                <w:b/>
                                <w:bCs/>
                                <w:color w:val="000000" w:themeColor="text1"/>
                              </w:rPr>
                            </w:pPr>
                            <w:r w:rsidRPr="00BF20F0">
                              <w:rPr>
                                <w:color w:val="000000" w:themeColor="text1"/>
                                <w:rtl/>
                              </w:rPr>
                              <w:t>دراسات الحالات هذه مأخوذة من</w:t>
                            </w:r>
                            <w:hyperlink r:id="rId8" w:history="1">
                              <w:r w:rsidRPr="00BF20F0">
                                <w:rPr>
                                  <w:rStyle w:val="Hyperlink"/>
                                  <w:rtl/>
                                </w:rPr>
                                <w:t xml:space="preserve"> بيئة التهديدات الأمنية </w:t>
                              </w:r>
                              <w:r w:rsidR="009070B3">
                                <w:rPr>
                                  <w:rStyle w:val="Hyperlink"/>
                                  <w:rFonts w:hint="cs"/>
                                  <w:rtl/>
                                </w:rPr>
                                <w:t>في نيوزيلندا</w:t>
                              </w:r>
                              <w:r w:rsidRPr="00BF20F0">
                                <w:rPr>
                                  <w:rStyle w:val="Hyperlink"/>
                                  <w:rtl/>
                                </w:rPr>
                                <w:t xml:space="preserve"> | جهاز الأمن والاستخبارات النيوزيلندي</w:t>
                              </w:r>
                            </w:hyperlink>
                            <w:r w:rsidR="007F61C9">
                              <w:rPr>
                                <w:rStyle w:val="Hyperlink"/>
                                <w:rFonts w:hint="cs"/>
                                <w:rtl/>
                              </w:rPr>
                              <w:t>.</w:t>
                            </w:r>
                            <w:r w:rsidRPr="00BF20F0">
                              <w:rPr>
                                <w:color w:val="000000" w:themeColor="text1"/>
                                <w:rtl/>
                              </w:rPr>
                              <w:t xml:space="preserve"> ويُشار بـ "الدولة الأجنبية" في هذه الدراسات</w:t>
                            </w:r>
                            <w:r w:rsidRPr="00BF20F0">
                              <w:rPr>
                                <w:b/>
                                <w:bCs/>
                                <w:color w:val="000000" w:themeColor="text1"/>
                                <w:rtl/>
                              </w:rPr>
                              <w:t xml:space="preserve"> إلى أية دولة غير نيوزيلندا</w:t>
                            </w:r>
                            <w:r w:rsidRPr="00BF20F0">
                              <w:rPr>
                                <w:color w:val="000000" w:themeColor="text1"/>
                                <w:rtl/>
                              </w:rPr>
                              <w:t>. ويُقصد بها أية دولة خارج نيوزيلندا.</w:t>
                            </w:r>
                          </w:p>
                          <w:p w14:paraId="42E216BA" w14:textId="17AA4377" w:rsidR="005C2C59" w:rsidRPr="00BF20F0" w:rsidRDefault="005C2C59" w:rsidP="005C2C59">
                            <w:pPr>
                              <w:bidi/>
                              <w:spacing w:after="180"/>
                              <w:rPr>
                                <w:color w:val="000000" w:themeColor="text1"/>
                              </w:rPr>
                            </w:pPr>
                            <w:r w:rsidRPr="00BF20F0">
                              <w:rPr>
                                <w:b/>
                                <w:bCs/>
                                <w:color w:val="000000" w:themeColor="text1"/>
                                <w:rtl/>
                              </w:rPr>
                              <w:t xml:space="preserve">يقوم جهاز الأمن والاستخبارات النيوزيلندي </w:t>
                            </w:r>
                            <w:r w:rsidRPr="00BF20F0">
                              <w:rPr>
                                <w:b/>
                                <w:bCs/>
                                <w:color w:val="000000" w:themeColor="text1"/>
                                <w:sz w:val="22"/>
                                <w:szCs w:val="22"/>
                                <w:rtl/>
                              </w:rPr>
                              <w:t>(NZSIS)</w:t>
                            </w:r>
                            <w:r w:rsidRPr="00BF20F0">
                              <w:rPr>
                                <w:b/>
                                <w:bCs/>
                                <w:color w:val="000000" w:themeColor="text1"/>
                                <w:rtl/>
                              </w:rPr>
                              <w:t xml:space="preserve"> بتعريف</w:t>
                            </w:r>
                            <w:r w:rsidRPr="00BF20F0">
                              <w:rPr>
                                <w:color w:val="000000" w:themeColor="text1"/>
                                <w:rtl/>
                              </w:rPr>
                              <w:t xml:space="preserve"> التدخل الأجنبي على أنه فعل تمارسه دولة أجنبية أو من يمثلها، بهدف التأثير على المصالح الوطنية النيوزيلندية أو تعطيلها أو تقويضها بوسائل سرية أو خادعة أو تهديدية. ولا تعد النشاطات الدبلوماسية الاعتيادية، وممارسة الضغوط، وغيرها من الجهود الحقيقية العلنية لكسب النفوذ، نوعاً من أنواع التدخل.</w:t>
                            </w:r>
                            <w:r w:rsidRPr="00BF20F0">
                              <w:rPr>
                                <w:color w:val="000000" w:themeColor="text1"/>
                                <w:rtl/>
                              </w:rPr>
                              <w:br/>
                            </w:r>
                          </w:p>
                          <w:p w14:paraId="768EB1DD" w14:textId="77777777" w:rsidR="005C2C59" w:rsidRPr="00BF20F0"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23.35pt;width:462.45pt;height:12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" fillcolor="white [3201]" strokecolor="#a42f13 [3205]" strokeweight="2pt">
                <v:textbox>
                  <w:txbxContent>
                    <w:p w14:paraId="0C20BA58" w14:textId="02DE548D" w:rsidR="00A330D3" w:rsidRPr="00BF20F0" w:rsidRDefault="00A330D3" w:rsidP="005C2C59">
                      <w:pPr>
                        <w:bidi/>
                        <w:spacing w:after="180"/>
                        <w:rPr>
                          <w:b/>
                          <w:bCs/>
                          <w:color w:val="000000" w:themeColor="text1"/>
                        </w:rPr>
                      </w:pPr>
                      <w:r w:rsidRPr="00BF20F0">
                        <w:rPr>
                          <w:color w:val="000000" w:themeColor="text1"/>
                          <w:rtl/>
                        </w:rPr>
                        <w:t>دراسات الحالات هذه مأخوذة من</w:t>
                      </w:r>
                      <w:hyperlink r:id="rId9" w:history="1">
                        <w:r w:rsidRPr="00BF20F0">
                          <w:rPr>
                            <w:rStyle w:val="Hyperlink"/>
                            <w:rtl/>
                          </w:rPr>
                          <w:t xml:space="preserve"> بيئة التهديدات الأمنية </w:t>
                        </w:r>
                        <w:r w:rsidR="009070B3">
                          <w:rPr>
                            <w:rStyle w:val="Hyperlink"/>
                            <w:rFonts w:hint="cs"/>
                            <w:rtl/>
                          </w:rPr>
                          <w:t>في نيوزيلندا</w:t>
                        </w:r>
                        <w:r w:rsidRPr="00BF20F0">
                          <w:rPr>
                            <w:rStyle w:val="Hyperlink"/>
                            <w:rtl/>
                          </w:rPr>
                          <w:t xml:space="preserve"> | جهاز الأمن والاستخبارات النيوزيلندي</w:t>
                        </w:r>
                      </w:hyperlink>
                      <w:r w:rsidR="007F61C9">
                        <w:rPr>
                          <w:rStyle w:val="Hyperlink"/>
                          <w:rFonts w:hint="cs"/>
                          <w:rtl/>
                        </w:rPr>
                        <w:t>.</w:t>
                      </w:r>
                      <w:r w:rsidRPr="00BF20F0">
                        <w:rPr>
                          <w:color w:val="000000" w:themeColor="text1"/>
                          <w:rtl/>
                        </w:rPr>
                        <w:t xml:space="preserve"> ويُشار بـ "الدولة الأجنبية" في هذه الدراسات</w:t>
                      </w:r>
                      <w:r w:rsidRPr="00BF20F0">
                        <w:rPr>
                          <w:b/>
                          <w:bCs/>
                          <w:color w:val="000000" w:themeColor="text1"/>
                          <w:rtl/>
                        </w:rPr>
                        <w:t xml:space="preserve"> إلى أية دولة غير نيوزيلندا</w:t>
                      </w:r>
                      <w:r w:rsidRPr="00BF20F0">
                        <w:rPr>
                          <w:color w:val="000000" w:themeColor="text1"/>
                          <w:rtl/>
                        </w:rPr>
                        <w:t>. ويُقصد بها أية دولة خارج نيوزيلندا.</w:t>
                      </w:r>
                    </w:p>
                    <w:p w14:paraId="42E216BA" w14:textId="17AA4377" w:rsidR="005C2C59" w:rsidRPr="00BF20F0" w:rsidRDefault="005C2C59" w:rsidP="005C2C59">
                      <w:pPr>
                        <w:bidi/>
                        <w:spacing w:after="180"/>
                        <w:rPr>
                          <w:color w:val="000000" w:themeColor="text1"/>
                        </w:rPr>
                      </w:pPr>
                      <w:r w:rsidRPr="00BF20F0">
                        <w:rPr>
                          <w:b/>
                          <w:bCs/>
                          <w:color w:val="000000" w:themeColor="text1"/>
                          <w:rtl/>
                        </w:rPr>
                        <w:t xml:space="preserve">يقوم جهاز الأمن والاستخبارات النيوزيلندي </w:t>
                      </w:r>
                      <w:r w:rsidRPr="00BF20F0">
                        <w:rPr>
                          <w:b/>
                          <w:bCs/>
                          <w:color w:val="000000" w:themeColor="text1"/>
                          <w:sz w:val="22"/>
                          <w:szCs w:val="22"/>
                          <w:rtl/>
                        </w:rPr>
                        <w:t>(NZSIS)</w:t>
                      </w:r>
                      <w:r w:rsidRPr="00BF20F0">
                        <w:rPr>
                          <w:b/>
                          <w:bCs/>
                          <w:color w:val="000000" w:themeColor="text1"/>
                          <w:rtl/>
                        </w:rPr>
                        <w:t xml:space="preserve"> بتعريف</w:t>
                      </w:r>
                      <w:r w:rsidRPr="00BF20F0">
                        <w:rPr>
                          <w:color w:val="000000" w:themeColor="text1"/>
                          <w:rtl/>
                        </w:rPr>
                        <w:t xml:space="preserve"> التدخل الأجنبي على أنه فعل تمارسه دولة أجنبية أو من يمثلها، بهدف التأثير على المصالح الوطنية النيوزيلندية أو تعطيلها أو تقويضها بوسائل سرية أو خادعة أو تهديدية. ولا تعد النشاطات الدبلوماسية الاعتيادية، وممارسة الضغوط، وغيرها من الجهود الحقيقية العلنية لكسب النفوذ، نوعاً من أنواع التدخل.</w:t>
                      </w:r>
                      <w:r w:rsidRPr="00BF20F0">
                        <w:rPr>
                          <w:color w:val="000000" w:themeColor="text1"/>
                          <w:rtl/>
                        </w:rPr>
                        <w:br/>
                      </w:r>
                    </w:p>
                    <w:p w14:paraId="768EB1DD" w14:textId="77777777" w:rsidR="005C2C59" w:rsidRPr="00BF20F0"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6AA75B30" w14:textId="77777777" w:rsidR="00BF20F0" w:rsidRDefault="00BF20F0" w:rsidP="00B83068">
      <w:pPr>
        <w:bidi/>
        <w:rPr>
          <w:b/>
          <w:bCs/>
          <w:sz w:val="26"/>
          <w:szCs w:val="26"/>
          <w:lang w:val="en-US"/>
        </w:rPr>
      </w:pPr>
    </w:p>
    <w:p w14:paraId="05591EC1" w14:textId="2E2F60F5" w:rsidR="00AE478C" w:rsidRPr="00BF20F0" w:rsidRDefault="00B83068" w:rsidP="00BF20F0">
      <w:pPr>
        <w:bidi/>
        <w:rPr>
          <w:sz w:val="26"/>
          <w:szCs w:val="26"/>
        </w:rPr>
      </w:pPr>
      <w:r w:rsidRPr="00BF20F0">
        <w:rPr>
          <w:b/>
          <w:bCs/>
          <w:sz w:val="26"/>
          <w:szCs w:val="26"/>
          <w:rtl/>
        </w:rPr>
        <w:t>دراسة لحالة 1</w:t>
      </w:r>
      <w:r w:rsidRPr="00BF20F0">
        <w:rPr>
          <w:sz w:val="26"/>
          <w:szCs w:val="26"/>
          <w:rtl/>
        </w:rPr>
        <w:br/>
        <w:t xml:space="preserve">في عام </w:t>
      </w:r>
      <w:r w:rsidRPr="00BF20F0">
        <w:rPr>
          <w:rtl/>
        </w:rPr>
        <w:t>2023</w:t>
      </w:r>
      <w:r w:rsidRPr="00BF20F0">
        <w:rPr>
          <w:sz w:val="26"/>
          <w:szCs w:val="26"/>
          <w:rtl/>
        </w:rPr>
        <w:t>، استخدمت دولة أجنبية جهة اتصال من نيوزيلندا للضغط على مجلس محلي من خلال عرض المساعدة في تمويل مناسبة مجتمعية بشرط موافقته في حظر مشاركة مجموعة دينية معينة. أرادت الدولة الأجنبية أن تذيع بأن المجموعة محظورة في بلادها وأنها تمارس أنشطة "ضد إرادة" المواطنين في الشتات.</w:t>
      </w:r>
      <w:r w:rsidRPr="00BF20F0">
        <w:rPr>
          <w:sz w:val="26"/>
          <w:szCs w:val="26"/>
          <w:rtl/>
        </w:rPr>
        <w:br/>
      </w:r>
      <w:r w:rsidRPr="00BF20F0">
        <w:rPr>
          <w:b/>
          <w:bCs/>
          <w:sz w:val="26"/>
          <w:szCs w:val="26"/>
          <w:rtl/>
        </w:rPr>
        <w:br/>
        <w:t>دراسة لحالة 2</w:t>
      </w:r>
      <w:r w:rsidRPr="00BF20F0">
        <w:rPr>
          <w:b/>
          <w:bCs/>
          <w:sz w:val="26"/>
          <w:szCs w:val="26"/>
          <w:rtl/>
        </w:rPr>
        <w:br/>
      </w:r>
      <w:r w:rsidRPr="00BF20F0">
        <w:rPr>
          <w:sz w:val="26"/>
          <w:szCs w:val="26"/>
          <w:rtl/>
        </w:rPr>
        <w:t xml:space="preserve">يعلم جهاز الأمن والاستخبارات النيوزيلندي </w:t>
      </w:r>
      <w:r w:rsidRPr="00BF20F0">
        <w:rPr>
          <w:rtl/>
        </w:rPr>
        <w:t>NZSIS</w:t>
      </w:r>
      <w:r w:rsidRPr="00BF20F0">
        <w:rPr>
          <w:sz w:val="26"/>
          <w:szCs w:val="26"/>
          <w:rtl/>
        </w:rPr>
        <w:t xml:space="preserve"> بوجود العديد من الدبلوماسيين الذين يمثلون دولة أجنبية والذين يحافظون على علاقات مع عدد من المجموعات الطلابية في نيوزيلندا ترتبط بسكان الشتات في تلك الدولة. وقد استخدم الدبلوماسيون هذا الوصول للتأثير على عضوية المجموعة في محاولة لضمان أن يكون المنتخبون للمناصب القيادية موالين سياسيا للدولة الأجنبية. وقد اختاروا إخفاء علاقتهم بالمجموعات الطلابية لتجنب الاتهامات بالتدخل في المجتمع الأكاديمي. يعد التصرف بهذه الطريقة مثالاً للتدخل الأجنبي. فهم يسعون إلى السيطرة على كيفية رؤية هذه الجماعات وأعضائها للدولة ويهدفون إلى تحديد المنشقين.</w:t>
      </w:r>
    </w:p>
    <w:p w14:paraId="7294F476" w14:textId="70543595" w:rsidR="004E192C" w:rsidRPr="00BF20F0" w:rsidRDefault="004E192C" w:rsidP="00B83068">
      <w:pPr>
        <w:bidi/>
        <w:rPr>
          <w:sz w:val="26"/>
          <w:szCs w:val="26"/>
        </w:rPr>
      </w:pPr>
      <w:r w:rsidRPr="00BF20F0">
        <w:rPr>
          <w:b/>
          <w:bCs/>
          <w:sz w:val="26"/>
          <w:szCs w:val="26"/>
          <w:rtl/>
        </w:rPr>
        <w:t>دراسة لحالة 3</w:t>
      </w:r>
      <w:r w:rsidRPr="00BF20F0">
        <w:rPr>
          <w:b/>
          <w:bCs/>
          <w:sz w:val="26"/>
          <w:szCs w:val="26"/>
          <w:rtl/>
        </w:rPr>
        <w:br/>
      </w:r>
      <w:r w:rsidRPr="00BF20F0">
        <w:rPr>
          <w:sz w:val="26"/>
          <w:szCs w:val="26"/>
          <w:rtl/>
        </w:rPr>
        <w:t xml:space="preserve">تعمل مجموعة صغيرة من الدول الأجنبية بجمع معلومات عن مجتمعات محددة في نيوزيلندا. في كثير من الأحيان، تستخدم هذه الدول أفراد المجتمع لمراقبة الأشخاص الذين تعتبرهم الدولة الأجنبية منشقين في نيوزيلندا وجمع تفاصيل شخصية عنهم. يمكن استخدام هذه المعلومات للقيام بإجراءات انتقامية مثل إلغاء التأشيرات أو استهداف أفراد الأسرة الذين ما زالوا يعيشون في ذلك البلد الأجنبي. في عام </w:t>
      </w:r>
      <w:r w:rsidR="00BF20F0" w:rsidRPr="00BF20F0">
        <w:rPr>
          <w:rtl/>
        </w:rPr>
        <w:t>2023</w:t>
      </w:r>
      <w:r w:rsidRPr="00BF20F0">
        <w:rPr>
          <w:sz w:val="26"/>
          <w:szCs w:val="26"/>
          <w:rtl/>
        </w:rPr>
        <w:t>، رفضت دولة أجنبية طلب شخص نيوزيلندي في الحصول على تأشيرة لزيارة عائلته في بلد الأصل بسبب ارتباطه بمجموعة مجتمعية لا ت</w:t>
      </w:r>
      <w:r w:rsidR="007F61C9">
        <w:rPr>
          <w:rFonts w:hint="cs"/>
          <w:sz w:val="26"/>
          <w:szCs w:val="26"/>
          <w:rtl/>
        </w:rPr>
        <w:t>رغب بها</w:t>
      </w:r>
      <w:r w:rsidRPr="00BF20F0">
        <w:rPr>
          <w:sz w:val="26"/>
          <w:szCs w:val="26"/>
          <w:rtl/>
        </w:rPr>
        <w:t xml:space="preserve"> الدولة الأجنبية.</w:t>
      </w:r>
      <w:r w:rsidRPr="00BF20F0">
        <w:rPr>
          <w:sz w:val="26"/>
          <w:szCs w:val="26"/>
          <w:rtl/>
        </w:rPr>
        <w:br/>
      </w:r>
    </w:p>
    <w:sectPr w:rsidR="004E192C" w:rsidRPr="00BF20F0"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8BDBA" w14:textId="77777777" w:rsidR="0080651B" w:rsidRDefault="0080651B">
      <w:r>
        <w:separator/>
      </w:r>
    </w:p>
    <w:p w14:paraId="1D538CAC" w14:textId="77777777" w:rsidR="0080651B" w:rsidRDefault="0080651B"/>
    <w:p w14:paraId="29485EF4" w14:textId="77777777" w:rsidR="0080651B" w:rsidRDefault="0080651B"/>
  </w:endnote>
  <w:endnote w:type="continuationSeparator" w:id="0">
    <w:p w14:paraId="48A24BE7" w14:textId="77777777" w:rsidR="0080651B" w:rsidRDefault="0080651B">
      <w:r>
        <w:continuationSeparator/>
      </w:r>
    </w:p>
    <w:p w14:paraId="1546B1BD" w14:textId="77777777" w:rsidR="0080651B" w:rsidRDefault="0080651B"/>
    <w:p w14:paraId="541D6AD0" w14:textId="77777777" w:rsidR="0080651B" w:rsidRDefault="0080651B"/>
  </w:endnote>
  <w:endnote w:type="continuationNotice" w:id="1">
    <w:p w14:paraId="5C435FCD" w14:textId="77777777" w:rsidR="0080651B" w:rsidRDefault="008065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bidi/>
      <w:ind w:right="-1"/>
    </w:pPr>
    <w:r>
      <w:rPr>
        <w:rtl/>
      </w:rPr>
      <w:tab/>
    </w:r>
    <w:r w:rsidR="006A482D">
      <w:rPr>
        <w:rtl/>
      </w:rPr>
      <w:tab/>
    </w:r>
    <w:r>
      <w:rPr>
        <w:rtl/>
      </w:rPr>
      <w:t xml:space="preserve"> </w:t>
    </w:r>
    <w:r>
      <w:rPr>
        <w:rtl/>
      </w:rPr>
      <w:t xml:space="preserve">صفحة </w:t>
    </w:r>
    <w:r w:rsidR="008504D0">
      <w:rPr>
        <w:rtl/>
      </w:rPr>
      <w:fldChar w:fldCharType="begin"/>
    </w:r>
    <w:r w:rsidR="008504D0">
      <w:rPr>
        <w:rtl/>
      </w:rPr>
      <w:instrText xml:space="preserve"> PAGE  \* Arabic  \* MERGEFORMAT </w:instrText>
    </w:r>
    <w:r w:rsidR="008504D0">
      <w:rPr>
        <w:rtl/>
      </w:rPr>
      <w:fldChar w:fldCharType="separate"/>
    </w:r>
    <w:r>
      <w:rPr>
        <w:rtl/>
      </w:rPr>
      <w:t xml:space="preserve"> 1</w:t>
    </w:r>
    <w:r w:rsidR="008504D0">
      <w:rPr>
        <w:rtl/>
      </w:rPr>
      <w:fldChar w:fldCharType="end"/>
    </w:r>
    <w:r>
      <w:rPr>
        <w:rtl/>
      </w:rPr>
      <w:t xml:space="preserve"> من </w:t>
    </w:r>
    <w:r w:rsidR="00203300">
      <w:rPr>
        <w:rtl/>
      </w:rPr>
      <w:fldChar w:fldCharType="begin"/>
    </w:r>
    <w:r w:rsidR="00203300">
      <w:rPr>
        <w:rtl/>
      </w:rPr>
      <w:instrText xml:space="preserve"> NUMPAGES   \* MERGEFORMAT </w:instrText>
    </w:r>
    <w:r w:rsidR="00203300">
      <w:rPr>
        <w:rtl/>
      </w:rPr>
      <w:fldChar w:fldCharType="separate"/>
    </w:r>
    <w:r>
      <w:rPr>
        <w:rtl/>
      </w:rPr>
      <w:t>1</w:t>
    </w:r>
    <w:r w:rsidR="00203300">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B353" w14:textId="77777777" w:rsidR="0080651B" w:rsidRDefault="0080651B" w:rsidP="00FB1990">
      <w:pPr>
        <w:pStyle w:val="Spacer"/>
      </w:pPr>
      <w:r>
        <w:separator/>
      </w:r>
    </w:p>
    <w:p w14:paraId="250C667F" w14:textId="77777777" w:rsidR="0080651B" w:rsidRDefault="0080651B" w:rsidP="00FB1990">
      <w:pPr>
        <w:pStyle w:val="Spacer"/>
      </w:pPr>
    </w:p>
  </w:footnote>
  <w:footnote w:type="continuationSeparator" w:id="0">
    <w:p w14:paraId="08C420AB" w14:textId="77777777" w:rsidR="0080651B" w:rsidRDefault="0080651B">
      <w:r>
        <w:continuationSeparator/>
      </w:r>
    </w:p>
    <w:p w14:paraId="6725FE89" w14:textId="77777777" w:rsidR="0080651B" w:rsidRDefault="0080651B"/>
    <w:p w14:paraId="37A2B360" w14:textId="77777777" w:rsidR="0080651B" w:rsidRDefault="0080651B"/>
  </w:footnote>
  <w:footnote w:type="continuationNotice" w:id="1">
    <w:p w14:paraId="54DB4331" w14:textId="77777777" w:rsidR="0080651B" w:rsidRDefault="008065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50274" w14:textId="0B57C6CC" w:rsidR="00316941" w:rsidRDefault="00316941" w:rsidP="00316941">
    <w:pPr>
      <w:pStyle w:val="Header"/>
      <w:jc w:val="center"/>
    </w:pPr>
    <w:r>
      <w:rPr>
        <w:noProof/>
      </w:rPr>
      <w:drawing>
        <wp:inline distT="0" distB="0" distL="0" distR="0" wp14:anchorId="4172372F" wp14:editId="55BBCCF5">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3E5C"/>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B670B"/>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16941"/>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C7DE6"/>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491E"/>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5C6C"/>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D1918"/>
    <w:rsid w:val="007F03F2"/>
    <w:rsid w:val="007F61C9"/>
    <w:rsid w:val="008031DF"/>
    <w:rsid w:val="0080651B"/>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070B3"/>
    <w:rsid w:val="00907803"/>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24F0"/>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47B22"/>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20F0"/>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35A17"/>
    <w:rsid w:val="00F435DA"/>
    <w:rsid w:val="00F473B6"/>
    <w:rsid w:val="00F52E57"/>
    <w:rsid w:val="00F53E06"/>
    <w:rsid w:val="00F54188"/>
    <w:rsid w:val="00F54CC0"/>
    <w:rsid w:val="00F66DE9"/>
    <w:rsid w:val="00F727A5"/>
    <w:rsid w:val="00F82C41"/>
    <w:rsid w:val="00F847A9"/>
    <w:rsid w:val="00F85E31"/>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15:docId w15:val="{04439F92-1A3F-417B-AAA0-9872C6F9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Said-Majeed</dc:creator>
  <cp:keywords/>
  <dc:description/>
  <cp:lastModifiedBy>Rory McKenzie</cp:lastModifiedBy>
  <cp:revision>4</cp:revision>
  <cp:lastPrinted>2024-12-09T10:20:00Z</cp:lastPrinted>
  <dcterms:created xsi:type="dcterms:W3CDTF">2024-12-09T10:20:00Z</dcterms:created>
  <dcterms:modified xsi:type="dcterms:W3CDTF">2024-12-16T22:37:00Z</dcterms:modified>
</cp:coreProperties>
</file>