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1E1FBEFD">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 xml:space="preserve">Comment signaler une ingérence étrangère </w:t>
      </w:r>
    </w:p>
    <w:p w14:paraId="15E2A6FB" w14:textId="3FADFC7B" w:rsidR="00AF5AEF" w:rsidRPr="0061640A" w:rsidRDefault="001667C4" w:rsidP="001667C4">
      <w:pPr>
        <w:rPr>
          <w:rFonts w:ascii="Acumin Pro" w:hAnsi="Acumin Pro" w:cs="Arial"/>
          <w:b/>
          <w:bCs/>
          <w:kern w:val="32"/>
          <w:sz w:val="56"/>
          <w:szCs w:val="36"/>
        </w:rPr>
      </w:pPr>
      <w:r>
        <w:rPr>
          <w:rFonts w:ascii="Acumin Pro" w:hAnsi="Acumin Pro"/>
          <w:sz w:val="28"/>
        </w:rPr>
        <w:t>Les communautés ethniques de Nouvelle-Zélande n</w:t>
      </w:r>
      <w:r w:rsidR="009F0C0C">
        <w:rPr>
          <w:rFonts w:ascii="Acumin Pro" w:hAnsi="Acumin Pro"/>
          <w:sz w:val="28"/>
        </w:rPr>
        <w:t>’</w:t>
      </w:r>
      <w:r>
        <w:rPr>
          <w:rFonts w:ascii="Acumin Pro" w:hAnsi="Acumin Pro"/>
          <w:sz w:val="28"/>
        </w:rPr>
        <w:t>ont pas à tolérer les ingérences étrangères. Vous pouvez signaler une interférence étrangère à l</w:t>
      </w:r>
      <w:r w:rsidR="009F0C0C">
        <w:rPr>
          <w:rFonts w:ascii="Acumin Pro" w:hAnsi="Acumin Pro"/>
          <w:sz w:val="28"/>
        </w:rPr>
        <w:t>’</w:t>
      </w:r>
      <w:r>
        <w:rPr>
          <w:rFonts w:ascii="Acumin Pro" w:hAnsi="Acumin Pro"/>
          <w:sz w:val="28"/>
        </w:rPr>
        <w:t>aide des moyens ci-dessous.</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0EE96078" w:rsidR="00694FD6" w:rsidRPr="00257702" w:rsidRDefault="00694FD6" w:rsidP="00694FD6">
                            <w:pPr>
                              <w:rPr>
                                <w:rFonts w:ascii="Acumin Pro" w:hAnsi="Acumin Pro"/>
                                <w:b/>
                                <w:bCs/>
                                <w:color w:val="A73138"/>
                                <w:sz w:val="28"/>
                                <w:szCs w:val="28"/>
                              </w:rPr>
                            </w:pPr>
                            <w:r>
                              <w:rPr>
                                <w:rFonts w:ascii="Acumin Pro" w:hAnsi="Acumin Pro"/>
                                <w:b/>
                                <w:color w:val="A73138"/>
                                <w:sz w:val="30"/>
                              </w:rPr>
                              <w:t>En cas d</w:t>
                            </w:r>
                            <w:r w:rsidR="009F0C0C">
                              <w:rPr>
                                <w:rFonts w:ascii="Acumin Pro" w:hAnsi="Acumin Pro"/>
                                <w:b/>
                                <w:color w:val="A73138"/>
                                <w:sz w:val="30"/>
                              </w:rPr>
                              <w:t>’</w:t>
                            </w:r>
                            <w:r>
                              <w:rPr>
                                <w:rFonts w:ascii="Acumin Pro" w:hAnsi="Acumin Pro"/>
                                <w:b/>
                                <w:color w:val="A73138"/>
                                <w:sz w:val="30"/>
                              </w:rPr>
                              <w:t xml:space="preserve">urgence </w:t>
                            </w:r>
                          </w:p>
                          <w:p w14:paraId="328B024D" w14:textId="26597F8C" w:rsidR="00694FD6" w:rsidRPr="00D81D50" w:rsidRDefault="00694FD6" w:rsidP="00694FD6">
                            <w:pPr>
                              <w:rPr>
                                <w:rFonts w:ascii="Acumin Pro" w:hAnsi="Acumin Pro"/>
                                <w:sz w:val="22"/>
                                <w:szCs w:val="22"/>
                              </w:rPr>
                            </w:pPr>
                            <w:r>
                              <w:rPr>
                                <w:rFonts w:ascii="Acumin Pro" w:hAnsi="Acumin Pro"/>
                                <w:sz w:val="22"/>
                              </w:rPr>
                              <w:t>Si l</w:t>
                            </w:r>
                            <w:r w:rsidR="009F0C0C">
                              <w:rPr>
                                <w:rFonts w:ascii="Acumin Pro" w:hAnsi="Acumin Pro"/>
                                <w:sz w:val="22"/>
                              </w:rPr>
                              <w:t>’</w:t>
                            </w:r>
                            <w:r>
                              <w:rPr>
                                <w:rFonts w:ascii="Acumin Pro" w:hAnsi="Acumin Pro"/>
                                <w:sz w:val="22"/>
                              </w:rPr>
                              <w:t xml:space="preserve">ingérence se produit actuellement, composez le 111 et demandez la police. </w:t>
                            </w:r>
                          </w:p>
                          <w:p w14:paraId="19E41CC4" w14:textId="13A19804" w:rsidR="00694FD6" w:rsidRPr="00D81D50" w:rsidRDefault="00694FD6" w:rsidP="00694FD6">
                            <w:pPr>
                              <w:rPr>
                                <w:rFonts w:ascii="Acumin Pro" w:hAnsi="Acumin Pro"/>
                                <w:sz w:val="22"/>
                                <w:szCs w:val="22"/>
                              </w:rPr>
                            </w:pPr>
                            <w:r>
                              <w:rPr>
                                <w:rFonts w:ascii="Acumin Pro" w:hAnsi="Acumin Pro"/>
                                <w:sz w:val="22"/>
                              </w:rPr>
                              <w:t>Si vous ne pouvez pas parler et que vous êtes au téléphone portable, restez silencieux et attendez l</w:t>
                            </w:r>
                            <w:r w:rsidR="009F0C0C">
                              <w:rPr>
                                <w:rFonts w:ascii="Acumin Pro" w:hAnsi="Acumin Pro"/>
                                <w:sz w:val="22"/>
                              </w:rPr>
                              <w:t>’</w:t>
                            </w:r>
                            <w:r>
                              <w:rPr>
                                <w:rFonts w:ascii="Acumin Pro" w:hAnsi="Acumin Pro"/>
                                <w:sz w:val="22"/>
                              </w:rPr>
                              <w:t>invite « </w:t>
                            </w:r>
                            <w:proofErr w:type="spellStart"/>
                            <w:r w:rsidR="008A3B5B">
                              <w:rPr>
                                <w:rFonts w:ascii="Acumin Pro" w:hAnsi="Acumin Pro"/>
                                <w:sz w:val="22"/>
                              </w:rPr>
                              <w:t>Press</w:t>
                            </w:r>
                            <w:proofErr w:type="spellEnd"/>
                            <w:r>
                              <w:rPr>
                                <w:rFonts w:ascii="Acumin Pro" w:hAnsi="Acumin Pro"/>
                                <w:sz w:val="22"/>
                              </w:rPr>
                              <w:t xml:space="preserve"> 55 »</w:t>
                            </w:r>
                            <w:r w:rsidR="008A3B5B">
                              <w:rPr>
                                <w:rFonts w:ascii="Acumin Pro" w:hAnsi="Acumin Pro"/>
                                <w:sz w:val="22"/>
                              </w:rPr>
                              <w:t xml:space="preserve"> (Appuyez sur 55)</w:t>
                            </w:r>
                            <w:r>
                              <w:rPr>
                                <w:rFonts w:ascii="Acumin Pro" w:hAnsi="Acumin Pro"/>
                                <w:sz w:val="22"/>
                              </w:rPr>
                              <w:t xml:space="preserve">. </w:t>
                            </w:r>
                            <w:r>
                              <w:rPr>
                                <w:rFonts w:ascii="Acumin Pro" w:hAnsi="Acumin Pro"/>
                                <w:sz w:val="22"/>
                                <w:szCs w:val="22"/>
                              </w:rPr>
                              <w:br/>
                            </w:r>
                            <w:r>
                              <w:rPr>
                                <w:rFonts w:ascii="Acumin Pro" w:hAnsi="Acumin Pro"/>
                                <w:sz w:val="22"/>
                                <w:szCs w:val="22"/>
                              </w:rPr>
                              <w:br/>
                            </w:r>
                            <w:r>
                              <w:rPr>
                                <w:rFonts w:ascii="Acumin Pro" w:hAnsi="Acumin Pro"/>
                                <w:sz w:val="22"/>
                              </w:rPr>
                              <w:t>Si vous ne pouvez pas parler et que vous êtes sur une ligne fixe, restez silencieux et écoutez l</w:t>
                            </w:r>
                            <w:r w:rsidR="009F0C0C">
                              <w:rPr>
                                <w:rFonts w:ascii="Acumin Pro" w:hAnsi="Acumin Pro"/>
                                <w:sz w:val="22"/>
                              </w:rPr>
                              <w:t>’</w:t>
                            </w:r>
                            <w:r>
                              <w:rPr>
                                <w:rFonts w:ascii="Acumin Pro" w:hAnsi="Acumin Pro"/>
                                <w:sz w:val="22"/>
                              </w:rPr>
                              <w:t>opérateur qui vous dira d</w:t>
                            </w:r>
                            <w:r w:rsidR="009F0C0C">
                              <w:rPr>
                                <w:rFonts w:ascii="Acumin Pro" w:hAnsi="Acumin Pro"/>
                                <w:sz w:val="22"/>
                              </w:rPr>
                              <w:t>’</w:t>
                            </w:r>
                            <w:r>
                              <w:rPr>
                                <w:rFonts w:ascii="Acumin Pro" w:hAnsi="Acumin Pro"/>
                                <w:sz w:val="22"/>
                              </w:rPr>
                              <w:t>appuyer sur n</w:t>
                            </w:r>
                            <w:r w:rsidR="009F0C0C">
                              <w:rPr>
                                <w:rFonts w:ascii="Acumin Pro" w:hAnsi="Acumin Pro"/>
                                <w:sz w:val="22"/>
                              </w:rPr>
                              <w:t>’</w:t>
                            </w:r>
                            <w:r>
                              <w:rPr>
                                <w:rFonts w:ascii="Acumin Pro" w:hAnsi="Acumin Pro"/>
                                <w:sz w:val="22"/>
                              </w:rPr>
                              <w:t>importe quel bouton pour obtenir de l</w:t>
                            </w:r>
                            <w:r w:rsidR="009F0C0C">
                              <w:rPr>
                                <w:rFonts w:ascii="Acumin Pro" w:hAnsi="Acumin Pro"/>
                                <w:sz w:val="22"/>
                              </w:rPr>
                              <w:t>’</w:t>
                            </w:r>
                            <w:r>
                              <w:rPr>
                                <w:rFonts w:ascii="Acumin Pro" w:hAnsi="Acumin Pro"/>
                                <w:sz w:val="22"/>
                              </w:rPr>
                              <w:t>aide.</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&#13;&#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0EE96078" w:rsidR="00694FD6" w:rsidRPr="00257702" w:rsidRDefault="00694FD6" w:rsidP="00694FD6">
                      <w:pPr>
                        <w:rPr>
                          <w:rFonts w:ascii="Acumin Pro" w:hAnsi="Acumin Pro"/>
                          <w:b/>
                          <w:bCs/>
                          <w:color w:val="A73138"/>
                          <w:sz w:val="28"/>
                          <w:szCs w:val="28"/>
                        </w:rPr>
                      </w:pPr>
                      <w:r>
                        <w:rPr>
                          <w:rFonts w:ascii="Acumin Pro" w:hAnsi="Acumin Pro"/>
                          <w:b/>
                          <w:color w:val="A73138"/>
                          <w:sz w:val="30"/>
                        </w:rPr>
                        <w:t>En cas d</w:t>
                      </w:r>
                      <w:r w:rsidR="009F0C0C">
                        <w:rPr>
                          <w:rFonts w:ascii="Acumin Pro" w:hAnsi="Acumin Pro"/>
                          <w:b/>
                          <w:color w:val="A73138"/>
                          <w:sz w:val="30"/>
                        </w:rPr>
                        <w:t>’</w:t>
                      </w:r>
                      <w:r>
                        <w:rPr>
                          <w:rFonts w:ascii="Acumin Pro" w:hAnsi="Acumin Pro"/>
                          <w:b/>
                          <w:color w:val="A73138"/>
                          <w:sz w:val="30"/>
                        </w:rPr>
                        <w:t xml:space="preserve">urgence </w:t>
                      </w:r>
                    </w:p>
                    <w:p w14:paraId="328B024D" w14:textId="26597F8C" w:rsidR="00694FD6" w:rsidRPr="00D81D50" w:rsidRDefault="00694FD6" w:rsidP="00694FD6">
                      <w:pPr>
                        <w:rPr>
                          <w:rFonts w:ascii="Acumin Pro" w:hAnsi="Acumin Pro"/>
                          <w:sz w:val="22"/>
                          <w:szCs w:val="22"/>
                        </w:rPr>
                      </w:pPr>
                      <w:r>
                        <w:rPr>
                          <w:rFonts w:ascii="Acumin Pro" w:hAnsi="Acumin Pro"/>
                          <w:sz w:val="22"/>
                        </w:rPr>
                        <w:t>Si l</w:t>
                      </w:r>
                      <w:r w:rsidR="009F0C0C">
                        <w:rPr>
                          <w:rFonts w:ascii="Acumin Pro" w:hAnsi="Acumin Pro"/>
                          <w:sz w:val="22"/>
                        </w:rPr>
                        <w:t>’</w:t>
                      </w:r>
                      <w:r>
                        <w:rPr>
                          <w:rFonts w:ascii="Acumin Pro" w:hAnsi="Acumin Pro"/>
                          <w:sz w:val="22"/>
                        </w:rPr>
                        <w:t xml:space="preserve">ingérence se produit actuellement, composez le 111 et demandez la police. </w:t>
                      </w:r>
                    </w:p>
                    <w:p w14:paraId="19E41CC4" w14:textId="13A19804" w:rsidR="00694FD6" w:rsidRPr="00D81D50" w:rsidRDefault="00694FD6" w:rsidP="00694FD6">
                      <w:pPr>
                        <w:rPr>
                          <w:rFonts w:ascii="Acumin Pro" w:hAnsi="Acumin Pro"/>
                          <w:sz w:val="22"/>
                          <w:szCs w:val="22"/>
                        </w:rPr>
                      </w:pPr>
                      <w:r>
                        <w:rPr>
                          <w:rFonts w:ascii="Acumin Pro" w:hAnsi="Acumin Pro"/>
                          <w:sz w:val="22"/>
                        </w:rPr>
                        <w:t>Si vous ne pouvez pas parler et que vous êtes au téléphone portable, restez silencieux et attendez l</w:t>
                      </w:r>
                      <w:r w:rsidR="009F0C0C">
                        <w:rPr>
                          <w:rFonts w:ascii="Acumin Pro" w:hAnsi="Acumin Pro"/>
                          <w:sz w:val="22"/>
                        </w:rPr>
                        <w:t>’</w:t>
                      </w:r>
                      <w:r>
                        <w:rPr>
                          <w:rFonts w:ascii="Acumin Pro" w:hAnsi="Acumin Pro"/>
                          <w:sz w:val="22"/>
                        </w:rPr>
                        <w:t>invite « </w:t>
                      </w:r>
                      <w:proofErr w:type="spellStart"/>
                      <w:r w:rsidR="008A3B5B">
                        <w:rPr>
                          <w:rFonts w:ascii="Acumin Pro" w:hAnsi="Acumin Pro"/>
                          <w:sz w:val="22"/>
                        </w:rPr>
                        <w:t>Press</w:t>
                      </w:r>
                      <w:proofErr w:type="spellEnd"/>
                      <w:r>
                        <w:rPr>
                          <w:rFonts w:ascii="Acumin Pro" w:hAnsi="Acumin Pro"/>
                          <w:sz w:val="22"/>
                        </w:rPr>
                        <w:t xml:space="preserve"> 55 »</w:t>
                      </w:r>
                      <w:r w:rsidR="008A3B5B">
                        <w:rPr>
                          <w:rFonts w:ascii="Acumin Pro" w:hAnsi="Acumin Pro"/>
                          <w:sz w:val="22"/>
                        </w:rPr>
                        <w:t xml:space="preserve"> (Appuyez sur 55)</w:t>
                      </w:r>
                      <w:r>
                        <w:rPr>
                          <w:rFonts w:ascii="Acumin Pro" w:hAnsi="Acumin Pro"/>
                          <w:sz w:val="22"/>
                        </w:rPr>
                        <w:t xml:space="preserve">. </w:t>
                      </w:r>
                      <w:r>
                        <w:rPr>
                          <w:rFonts w:ascii="Acumin Pro" w:hAnsi="Acumin Pro"/>
                          <w:sz w:val="22"/>
                          <w:szCs w:val="22"/>
                        </w:rPr>
                        <w:br/>
                      </w:r>
                      <w:r>
                        <w:rPr>
                          <w:rFonts w:ascii="Acumin Pro" w:hAnsi="Acumin Pro"/>
                          <w:sz w:val="22"/>
                          <w:szCs w:val="22"/>
                        </w:rPr>
                        <w:br/>
                      </w:r>
                      <w:r>
                        <w:rPr>
                          <w:rFonts w:ascii="Acumin Pro" w:hAnsi="Acumin Pro"/>
                          <w:sz w:val="22"/>
                        </w:rPr>
                        <w:t>Si vous ne pouvez pas parler et que vous êtes sur une ligne fixe, restez silencieux et écoutez l</w:t>
                      </w:r>
                      <w:r w:rsidR="009F0C0C">
                        <w:rPr>
                          <w:rFonts w:ascii="Acumin Pro" w:hAnsi="Acumin Pro"/>
                          <w:sz w:val="22"/>
                        </w:rPr>
                        <w:t>’</w:t>
                      </w:r>
                      <w:r>
                        <w:rPr>
                          <w:rFonts w:ascii="Acumin Pro" w:hAnsi="Acumin Pro"/>
                          <w:sz w:val="22"/>
                        </w:rPr>
                        <w:t>opérateur qui vous dira d</w:t>
                      </w:r>
                      <w:r w:rsidR="009F0C0C">
                        <w:rPr>
                          <w:rFonts w:ascii="Acumin Pro" w:hAnsi="Acumin Pro"/>
                          <w:sz w:val="22"/>
                        </w:rPr>
                        <w:t>’</w:t>
                      </w:r>
                      <w:r>
                        <w:rPr>
                          <w:rFonts w:ascii="Acumin Pro" w:hAnsi="Acumin Pro"/>
                          <w:sz w:val="22"/>
                        </w:rPr>
                        <w:t>appuyer sur n</w:t>
                      </w:r>
                      <w:r w:rsidR="009F0C0C">
                        <w:rPr>
                          <w:rFonts w:ascii="Acumin Pro" w:hAnsi="Acumin Pro"/>
                          <w:sz w:val="22"/>
                        </w:rPr>
                        <w:t>’</w:t>
                      </w:r>
                      <w:r>
                        <w:rPr>
                          <w:rFonts w:ascii="Acumin Pro" w:hAnsi="Acumin Pro"/>
                          <w:sz w:val="22"/>
                        </w:rPr>
                        <w:t>importe quel bouton pour obtenir de l</w:t>
                      </w:r>
                      <w:r w:rsidR="009F0C0C">
                        <w:rPr>
                          <w:rFonts w:ascii="Acumin Pro" w:hAnsi="Acumin Pro"/>
                          <w:sz w:val="22"/>
                        </w:rPr>
                        <w:t>’</w:t>
                      </w:r>
                      <w:r>
                        <w:rPr>
                          <w:rFonts w:ascii="Acumin Pro" w:hAnsi="Acumin Pro"/>
                          <w:sz w:val="22"/>
                        </w:rPr>
                        <w:t>aide.</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35A5A721" w14:textId="410FBF34" w:rsidR="001667C4" w:rsidRPr="009B236A" w:rsidRDefault="000E0A2B" w:rsidP="001667C4">
      <w:pPr>
        <w:pStyle w:val="Heading2"/>
        <w:rPr>
          <w:rFonts w:ascii="Acumin Pro" w:hAnsi="Acumin Pro"/>
          <w:color w:val="auto"/>
        </w:rPr>
      </w:pPr>
      <w:r>
        <w:rPr>
          <w:rFonts w:ascii="Acumin Pro" w:hAnsi="Acumin Pro"/>
          <w:color w:val="auto"/>
        </w:rPr>
        <w:br/>
      </w:r>
      <w:r w:rsidR="006F36CB">
        <w:rPr>
          <w:rFonts w:ascii="Acumin Pro" w:hAnsi="Acumin Pro"/>
          <w:color w:val="auto"/>
        </w:rPr>
        <w:br/>
      </w:r>
      <w:r>
        <w:rPr>
          <w:rFonts w:ascii="Acumin Pro" w:hAnsi="Acumin Pro"/>
          <w:color w:val="007472"/>
          <w:sz w:val="34"/>
        </w:rPr>
        <w:t xml:space="preserve">Signaler une ingérence étrangère </w:t>
      </w:r>
    </w:p>
    <w:p w14:paraId="158B1709" w14:textId="4D2F1E20" w:rsidR="001667C4" w:rsidRPr="00FD7DFA" w:rsidRDefault="006F36CB" w:rsidP="00AF5AEF">
      <w:pPr>
        <w:spacing w:line="276" w:lineRule="auto"/>
        <w:rPr>
          <w:rFonts w:ascii="Acumin Pro" w:hAnsi="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2F1118C3">
                <wp:simplePos x="0" y="0"/>
                <wp:positionH relativeFrom="margin">
                  <wp:posOffset>-86962</wp:posOffset>
                </wp:positionH>
                <wp:positionV relativeFrom="paragraph">
                  <wp:posOffset>875296</wp:posOffset>
                </wp:positionV>
                <wp:extent cx="5710457" cy="3560679"/>
                <wp:effectExtent l="38100" t="38100" r="43180" b="3365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560679"/>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971E0C">
                            <w:pPr>
                              <w:spacing w:before="0" w:line="276" w:lineRule="auto"/>
                              <w:rPr>
                                <w:rFonts w:ascii="Acumin Pro" w:hAnsi="Acumin Pro"/>
                                <w:color w:val="007472"/>
                                <w:sz w:val="22"/>
                                <w:szCs w:val="22"/>
                              </w:rPr>
                            </w:pPr>
                            <w:r>
                              <w:rPr>
                                <w:rFonts w:ascii="Acumin Pro" w:hAnsi="Acumin Pro"/>
                                <w:b/>
                                <w:color w:val="007472"/>
                                <w:sz w:val="28"/>
                              </w:rPr>
                              <w:t>Signaler une ingérence étrangère au NZSIS</w:t>
                            </w:r>
                            <w:r w:rsidRPr="008756F8">
                              <w:rPr>
                                <w:rFonts w:ascii="Acumin Pro" w:hAnsi="Acumin Pro"/>
                                <w:color w:val="007472"/>
                                <w:sz w:val="28"/>
                                <w:szCs w:val="28"/>
                              </w:rPr>
                              <w:t xml:space="preserve"> </w:t>
                            </w:r>
                          </w:p>
                          <w:p w14:paraId="5EE2B0D4" w14:textId="08540567" w:rsidR="00694FD6" w:rsidRPr="00FD7DFA" w:rsidRDefault="00694FD6" w:rsidP="00694FD6">
                            <w:pPr>
                              <w:spacing w:line="276" w:lineRule="auto"/>
                              <w:rPr>
                                <w:rFonts w:ascii="Acumin Pro" w:hAnsi="Acumin Pro"/>
                                <w:sz w:val="22"/>
                                <w:szCs w:val="22"/>
                              </w:rPr>
                            </w:pPr>
                            <w:r>
                              <w:rPr>
                                <w:rFonts w:ascii="Acumin Pro" w:hAnsi="Acumin Pro"/>
                                <w:sz w:val="22"/>
                              </w:rPr>
                              <w:t xml:space="preserve">Vous pouvez signaler une ingérence étrangère en utilisant le </w:t>
                            </w:r>
                            <w:hyperlink r:id="rId9" w:anchor="pb6zx0vrt4jibuhfjz4cj1dj6" w:history="1">
                              <w:r>
                                <w:rPr>
                                  <w:rStyle w:val="Hyperlink"/>
                                  <w:rFonts w:ascii="Acumin Pro" w:hAnsi="Acumin Pro"/>
                                  <w:color w:val="0070C0"/>
                                  <w:sz w:val="22"/>
                                </w:rPr>
                                <w:t>formulaire</w:t>
                              </w:r>
                            </w:hyperlink>
                            <w:r>
                              <w:rPr>
                                <w:rFonts w:ascii="Acumin Pro" w:hAnsi="Acumin Pro"/>
                                <w:sz w:val="22"/>
                              </w:rPr>
                              <w:t xml:space="preserve"> sécurisé en ligne sur le site Internet du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Vous n</w:t>
                            </w:r>
                            <w:r w:rsidR="009F0C0C">
                              <w:rPr>
                                <w:rFonts w:ascii="Acumin Pro" w:hAnsi="Acumin Pro"/>
                                <w:sz w:val="22"/>
                              </w:rPr>
                              <w:t>’</w:t>
                            </w:r>
                            <w:r>
                              <w:rPr>
                                <w:rFonts w:ascii="Acumin Pro" w:hAnsi="Acumin Pro"/>
                                <w:sz w:val="22"/>
                              </w:rPr>
                              <w:t>êtes pas obligé de fournir vos informations personnelles telles que votre nom, votre numéro de téléphone ou vos coordonnées si vous ne le souhaitez pas.  Vous pouvez également remplir le formulaire dans votre propre langue.</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Si vous souhaitez parler à un employé du NZSIS, vous pouvez le joindre en composant le </w:t>
                            </w:r>
                            <w:r w:rsidRPr="00FD7DFA">
                              <w:rPr>
                                <w:rFonts w:ascii="Acumin Pro" w:hAnsi="Acumin Pro"/>
                                <w:b/>
                                <w:bCs/>
                                <w:sz w:val="22"/>
                                <w:szCs w:val="22"/>
                              </w:rPr>
                              <w:t xml:space="preserve">+64 4 472 6170 </w:t>
                            </w:r>
                            <w:r>
                              <w:rPr>
                                <w:rFonts w:ascii="Acumin Pro" w:hAnsi="Acumin Pro"/>
                                <w:sz w:val="22"/>
                              </w:rPr>
                              <w:t xml:space="preserve">ou le </w:t>
                            </w:r>
                            <w:r>
                              <w:rPr>
                                <w:rFonts w:ascii="Acumin Pro" w:hAnsi="Acumin Pro"/>
                                <w:b/>
                                <w:sz w:val="22"/>
                              </w:rPr>
                              <w:t xml:space="preserve">0800 747 224. </w:t>
                            </w:r>
                            <w:r>
                              <w:rPr>
                                <w:rFonts w:ascii="Acumin Pro" w:hAnsi="Acumin Pro"/>
                                <w:sz w:val="22"/>
                              </w:rPr>
                              <w:t xml:space="preserve"> </w:t>
                            </w:r>
                          </w:p>
                          <w:p w14:paraId="39A6973F" w14:textId="0C5E7E94"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Le NZSIS examine votre rapport dès qu</w:t>
                            </w:r>
                            <w:r w:rsidR="009F0C0C">
                              <w:rPr>
                                <w:rFonts w:ascii="Acumin Pro" w:hAnsi="Acumin Pro"/>
                                <w:color w:val="000000" w:themeColor="text1"/>
                                <w:sz w:val="22"/>
                              </w:rPr>
                              <w:t>’</w:t>
                            </w:r>
                            <w:r>
                              <w:rPr>
                                <w:rFonts w:ascii="Acumin Pro" w:hAnsi="Acumin Pro"/>
                                <w:color w:val="000000" w:themeColor="text1"/>
                                <w:sz w:val="22"/>
                              </w:rPr>
                              <w:t>il le reçoit. Si vous laissez vos coordonnées, le NZSIS ne vous contactera que si des informations supplémentaires sont requises. Si le NZSIS ne vous contacte pas, cela ne signifie pas que votre rapport n</w:t>
                            </w:r>
                            <w:r w:rsidR="009F0C0C">
                              <w:rPr>
                                <w:rFonts w:ascii="Acumin Pro" w:hAnsi="Acumin Pro"/>
                                <w:color w:val="000000" w:themeColor="text1"/>
                                <w:sz w:val="22"/>
                              </w:rPr>
                              <w:t>’</w:t>
                            </w:r>
                            <w:r>
                              <w:rPr>
                                <w:rFonts w:ascii="Acumin Pro" w:hAnsi="Acumin Pro"/>
                                <w:color w:val="000000" w:themeColor="text1"/>
                                <w:sz w:val="22"/>
                              </w:rPr>
                              <w:t xml:space="preserve">est pas pris en compte.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6.85pt;margin-top:68.9pt;width:449.65pt;height:280.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56067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" adj="-11796480,,5400" path="m593458,l5710457,r,l5710457,2967221v,327758,-265700,593458,-593458,593458l,3560679r,l,593458c,265700,265700,,593458,xe" filled="f" strokecolor="#007472" strokeweight="6pt">
                <v:stroke joinstyle="miter"/>
                <v:formulas/>
                <v:path arrowok="t" o:connecttype="custom" o:connectlocs="593458,0;5710457,0;5710457,0;5710457,2967221;5116999,3560679;0,3560679;0,3560679;0,593458;593458,0" o:connectangles="0,0,0,0,0,0,0,0,0" textboxrect="0,0,5710457,3560679"/>
                <v:textbox>
                  <w:txbxContent>
                    <w:p w14:paraId="5CD1276F" w14:textId="77777777" w:rsidR="00694FD6" w:rsidRPr="008756F8" w:rsidRDefault="00694FD6" w:rsidP="00971E0C">
                      <w:pPr>
                        <w:spacing w:before="0" w:line="276" w:lineRule="auto"/>
                        <w:rPr>
                          <w:rFonts w:ascii="Acumin Pro" w:hAnsi="Acumin Pro"/>
                          <w:color w:val="007472"/>
                          <w:sz w:val="22"/>
                          <w:szCs w:val="22"/>
                        </w:rPr>
                      </w:pPr>
                      <w:r>
                        <w:rPr>
                          <w:rFonts w:ascii="Acumin Pro" w:hAnsi="Acumin Pro"/>
                          <w:b/>
                          <w:color w:val="007472"/>
                          <w:sz w:val="28"/>
                        </w:rPr>
                        <w:t>Signaler une ingérence étrangère au NZSIS</w:t>
                      </w:r>
                      <w:r w:rsidRPr="008756F8">
                        <w:rPr>
                          <w:rFonts w:ascii="Acumin Pro" w:hAnsi="Acumin Pro"/>
                          <w:color w:val="007472"/>
                          <w:sz w:val="28"/>
                          <w:szCs w:val="28"/>
                        </w:rPr>
                        <w:t xml:space="preserve"> </w:t>
                      </w:r>
                    </w:p>
                    <w:p w14:paraId="5EE2B0D4" w14:textId="08540567" w:rsidR="00694FD6" w:rsidRPr="00FD7DFA" w:rsidRDefault="00694FD6" w:rsidP="00694FD6">
                      <w:pPr>
                        <w:spacing w:line="276" w:lineRule="auto"/>
                        <w:rPr>
                          <w:rFonts w:ascii="Acumin Pro" w:hAnsi="Acumin Pro"/>
                          <w:sz w:val="22"/>
                          <w:szCs w:val="22"/>
                        </w:rPr>
                      </w:pPr>
                      <w:r>
                        <w:rPr>
                          <w:rFonts w:ascii="Acumin Pro" w:hAnsi="Acumin Pro"/>
                          <w:sz w:val="22"/>
                        </w:rPr>
                        <w:t xml:space="preserve">Vous pouvez signaler une ingérence étrangère en utilisant le </w:t>
                      </w:r>
                      <w:hyperlink r:id="rId10" w:anchor="pb6zx0vrt4jibuhfjz4cj1dj6" w:history="1">
                        <w:r>
                          <w:rPr>
                            <w:rStyle w:val="Hyperlink"/>
                            <w:rFonts w:ascii="Acumin Pro" w:hAnsi="Acumin Pro"/>
                            <w:color w:val="0070C0"/>
                            <w:sz w:val="22"/>
                          </w:rPr>
                          <w:t>formulaire</w:t>
                        </w:r>
                      </w:hyperlink>
                      <w:r>
                        <w:rPr>
                          <w:rFonts w:ascii="Acumin Pro" w:hAnsi="Acumin Pro"/>
                          <w:sz w:val="22"/>
                        </w:rPr>
                        <w:t xml:space="preserve"> sécurisé en ligne sur le site Internet du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Vous n</w:t>
                      </w:r>
                      <w:r w:rsidR="009F0C0C">
                        <w:rPr>
                          <w:rFonts w:ascii="Acumin Pro" w:hAnsi="Acumin Pro"/>
                          <w:sz w:val="22"/>
                        </w:rPr>
                        <w:t>’</w:t>
                      </w:r>
                      <w:r>
                        <w:rPr>
                          <w:rFonts w:ascii="Acumin Pro" w:hAnsi="Acumin Pro"/>
                          <w:sz w:val="22"/>
                        </w:rPr>
                        <w:t>êtes pas obligé de fournir vos informations personnelles telles que votre nom, votre numéro de téléphone ou vos coordonnées si vous ne le souhaitez pas.  Vous pouvez également remplir le formulaire dans votre propre langue.</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Si vous souhaitez parler à un employé du NZSIS, vous pouvez le joindre en composant le </w:t>
                      </w:r>
                      <w:r w:rsidRPr="00FD7DFA">
                        <w:rPr>
                          <w:rFonts w:ascii="Acumin Pro" w:hAnsi="Acumin Pro"/>
                          <w:b/>
                          <w:bCs/>
                          <w:sz w:val="22"/>
                          <w:szCs w:val="22"/>
                        </w:rPr>
                        <w:t xml:space="preserve">+64 4 472 6170 </w:t>
                      </w:r>
                      <w:r>
                        <w:rPr>
                          <w:rFonts w:ascii="Acumin Pro" w:hAnsi="Acumin Pro"/>
                          <w:sz w:val="22"/>
                        </w:rPr>
                        <w:t xml:space="preserve">ou le </w:t>
                      </w:r>
                      <w:r>
                        <w:rPr>
                          <w:rFonts w:ascii="Acumin Pro" w:hAnsi="Acumin Pro"/>
                          <w:b/>
                          <w:sz w:val="22"/>
                        </w:rPr>
                        <w:t xml:space="preserve">0800 747 224. </w:t>
                      </w:r>
                      <w:r>
                        <w:rPr>
                          <w:rFonts w:ascii="Acumin Pro" w:hAnsi="Acumin Pro"/>
                          <w:sz w:val="22"/>
                        </w:rPr>
                        <w:t xml:space="preserve"> </w:t>
                      </w:r>
                    </w:p>
                    <w:p w14:paraId="39A6973F" w14:textId="0C5E7E94"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Le NZSIS examine votre rapport dès qu</w:t>
                      </w:r>
                      <w:r w:rsidR="009F0C0C">
                        <w:rPr>
                          <w:rFonts w:ascii="Acumin Pro" w:hAnsi="Acumin Pro"/>
                          <w:color w:val="000000" w:themeColor="text1"/>
                          <w:sz w:val="22"/>
                        </w:rPr>
                        <w:t>’</w:t>
                      </w:r>
                      <w:r>
                        <w:rPr>
                          <w:rFonts w:ascii="Acumin Pro" w:hAnsi="Acumin Pro"/>
                          <w:color w:val="000000" w:themeColor="text1"/>
                          <w:sz w:val="22"/>
                        </w:rPr>
                        <w:t>il le reçoit. Si vous laissez vos coordonnées, le NZSIS ne vous contactera que si des informations supplémentaires sont requises. Si le NZSIS ne vous contacte pas, cela ne signifie pas que votre rapport n</w:t>
                      </w:r>
                      <w:r w:rsidR="009F0C0C">
                        <w:rPr>
                          <w:rFonts w:ascii="Acumin Pro" w:hAnsi="Acumin Pro"/>
                          <w:color w:val="000000" w:themeColor="text1"/>
                          <w:sz w:val="22"/>
                        </w:rPr>
                        <w:t>’</w:t>
                      </w:r>
                      <w:r>
                        <w:rPr>
                          <w:rFonts w:ascii="Acumin Pro" w:hAnsi="Acumin Pro"/>
                          <w:color w:val="000000" w:themeColor="text1"/>
                          <w:sz w:val="22"/>
                        </w:rPr>
                        <w:t xml:space="preserve">est pas pris en compte.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Pr>
          <w:rFonts w:ascii="Acumin Pro" w:hAnsi="Acumin Pro"/>
          <w:sz w:val="22"/>
        </w:rPr>
        <w:t xml:space="preserve">Nous pouvons tous contribuer à protéger la Nouvelle-Zélande contre les ingérences étrangères en les signalant au Service </w:t>
      </w:r>
      <w:r w:rsidR="008A3B5B">
        <w:rPr>
          <w:rFonts w:ascii="Acumin Pro" w:hAnsi="Acumin Pro"/>
          <w:sz w:val="22"/>
        </w:rPr>
        <w:t>néo-zélandais d</w:t>
      </w:r>
      <w:r w:rsidR="00465E88">
        <w:rPr>
          <w:rFonts w:ascii="Acumin Pro" w:hAnsi="Acumin Pro"/>
          <w:sz w:val="22"/>
        </w:rPr>
        <w:t>u</w:t>
      </w:r>
      <w:r>
        <w:rPr>
          <w:rFonts w:ascii="Acumin Pro" w:hAnsi="Acumin Pro"/>
          <w:sz w:val="22"/>
        </w:rPr>
        <w:t xml:space="preserve"> renseignement de sécurité (NZSIS) ou à la police. Quelle que soit la méthode choisie, ces organisations veilleront à ce que vos informations parviennent au bon endroit.</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4376034A">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Signaler une ingérence étrangère à la police</w:t>
                            </w:r>
                            <w:r w:rsidRPr="008756F8">
                              <w:rPr>
                                <w:rFonts w:ascii="Acumin Pro" w:hAnsi="Acumin Pro"/>
                                <w:color w:val="007472"/>
                                <w:sz w:val="28"/>
                                <w:szCs w:val="28"/>
                              </w:rPr>
                              <w:t xml:space="preserve"> </w:t>
                            </w:r>
                          </w:p>
                          <w:p w14:paraId="42141215" w14:textId="1A23F116" w:rsidR="00694FD6" w:rsidRPr="008756F8" w:rsidRDefault="00694FD6" w:rsidP="00694FD6">
                            <w:pPr>
                              <w:spacing w:line="276" w:lineRule="auto"/>
                              <w:rPr>
                                <w:rFonts w:ascii="Acumin Pro" w:hAnsi="Acumin Pro"/>
                                <w:sz w:val="22"/>
                                <w:szCs w:val="22"/>
                              </w:rPr>
                            </w:pPr>
                            <w:r>
                              <w:rPr>
                                <w:rFonts w:ascii="Acumin Pro" w:hAnsi="Acumin Pro"/>
                                <w:sz w:val="22"/>
                              </w:rPr>
                              <w:t>S</w:t>
                            </w:r>
                            <w:r w:rsidR="009F0C0C">
                              <w:rPr>
                                <w:rFonts w:ascii="Acumin Pro" w:hAnsi="Acumin Pro"/>
                                <w:sz w:val="22"/>
                              </w:rPr>
                              <w:t>’</w:t>
                            </w:r>
                            <w:r>
                              <w:rPr>
                                <w:rFonts w:ascii="Acumin Pro" w:hAnsi="Acumin Pro"/>
                                <w:sz w:val="22"/>
                              </w:rPr>
                              <w:t>il ne s</w:t>
                            </w:r>
                            <w:r w:rsidR="009F0C0C">
                              <w:rPr>
                                <w:rFonts w:ascii="Acumin Pro" w:hAnsi="Acumin Pro"/>
                                <w:sz w:val="22"/>
                              </w:rPr>
                              <w:t>’</w:t>
                            </w:r>
                            <w:r>
                              <w:rPr>
                                <w:rFonts w:ascii="Acumin Pro" w:hAnsi="Acumin Pro"/>
                                <w:sz w:val="22"/>
                              </w:rPr>
                              <w:t>agit pas d</w:t>
                            </w:r>
                            <w:r w:rsidR="009F0C0C">
                              <w:rPr>
                                <w:rFonts w:ascii="Acumin Pro" w:hAnsi="Acumin Pro"/>
                                <w:sz w:val="22"/>
                              </w:rPr>
                              <w:t>’</w:t>
                            </w:r>
                            <w:r>
                              <w:rPr>
                                <w:rFonts w:ascii="Acumin Pro" w:hAnsi="Acumin Pro"/>
                                <w:sz w:val="22"/>
                              </w:rPr>
                              <w:t>une urgence, vous pouvez contacter la police :</w:t>
                            </w:r>
                          </w:p>
                          <w:p w14:paraId="170686B3" w14:textId="79BF157F"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en utilisant le </w:t>
                            </w:r>
                            <w:hyperlink r:id="rId11" w:history="1">
                              <w:r>
                                <w:rPr>
                                  <w:rStyle w:val="Hyperlink"/>
                                  <w:rFonts w:ascii="Acumin Pro" w:hAnsi="Acumin Pro"/>
                                  <w:color w:val="0070C0"/>
                                  <w:sz w:val="22"/>
                                </w:rPr>
                                <w:t>formulaire</w:t>
                              </w:r>
                            </w:hyperlink>
                            <w:r w:rsidR="00971E0C" w:rsidRPr="0030153F">
                              <w:rPr>
                                <w:rStyle w:val="Hyperlink"/>
                                <w:rFonts w:ascii="Acumin Pro" w:hAnsi="Acumin Pro"/>
                                <w:color w:val="0070C0"/>
                                <w:sz w:val="22"/>
                                <w:u w:val="none"/>
                              </w:rPr>
                              <w:t xml:space="preserve"> </w:t>
                            </w:r>
                            <w:r>
                              <w:rPr>
                                <w:rFonts w:ascii="Acumin Pro" w:hAnsi="Acumin Pro"/>
                                <w:sz w:val="22"/>
                              </w:rPr>
                              <w:t>en ligne 105 ;</w:t>
                            </w:r>
                          </w:p>
                          <w:p w14:paraId="706A4E0D" w14:textId="2E74C330"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en composant le 105 depuis n</w:t>
                            </w:r>
                            <w:r w:rsidR="009F0C0C">
                              <w:rPr>
                                <w:rFonts w:ascii="Acumin Pro" w:hAnsi="Acumin Pro"/>
                                <w:sz w:val="22"/>
                              </w:rPr>
                              <w:t>’</w:t>
                            </w:r>
                            <w:r>
                              <w:rPr>
                                <w:rFonts w:ascii="Acumin Pro" w:hAnsi="Acumin Pro"/>
                                <w:sz w:val="22"/>
                              </w:rPr>
                              <w:t>importe quel mobile ou fixe ; ce service est gratuit et disponible 24/7 dans tout le pays ;</w:t>
                            </w:r>
                          </w:p>
                          <w:p w14:paraId="39413E70" w14:textId="0ABCB8E8" w:rsidR="00694FD6" w:rsidRPr="008756F8" w:rsidRDefault="00694FD6" w:rsidP="00694FD6">
                            <w:r>
                              <w:rPr>
                                <w:rFonts w:ascii="Acumin Pro" w:hAnsi="Acumin Pro"/>
                                <w:sz w:val="22"/>
                              </w:rPr>
                              <w:t>Le formulaire 105 demande certaines de vos informations personnelles pour aider la police à traiter votre rapport et vous tenir informé·e. La police n</w:t>
                            </w:r>
                            <w:r w:rsidR="009F0C0C">
                              <w:rPr>
                                <w:rFonts w:ascii="Acumin Pro" w:hAnsi="Acumin Pro"/>
                                <w:sz w:val="22"/>
                              </w:rPr>
                              <w:t>’</w:t>
                            </w:r>
                            <w:r>
                              <w:rPr>
                                <w:rFonts w:ascii="Acumin Pro" w:hAnsi="Acumin Pro"/>
                                <w:sz w:val="22"/>
                              </w:rPr>
                              <w:t>utilise ces informations qu</w:t>
                            </w:r>
                            <w:r w:rsidR="009F0C0C">
                              <w:rPr>
                                <w:rFonts w:ascii="Acumin Pro" w:hAnsi="Acumin Pro"/>
                                <w:sz w:val="22"/>
                              </w:rPr>
                              <w:t>’</w:t>
                            </w:r>
                            <w:r>
                              <w:rPr>
                                <w:rFonts w:ascii="Acumin Pro" w:hAnsi="Acumin Pro"/>
                                <w:sz w:val="22"/>
                              </w:rPr>
                              <w:t>aux fins autorisées.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&#13;&#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Signaler une ingérence étrangère à la police</w:t>
                      </w:r>
                      <w:r w:rsidRPr="008756F8">
                        <w:rPr>
                          <w:rFonts w:ascii="Acumin Pro" w:hAnsi="Acumin Pro"/>
                          <w:color w:val="007472"/>
                          <w:sz w:val="28"/>
                          <w:szCs w:val="28"/>
                        </w:rPr>
                        <w:t xml:space="preserve"> </w:t>
                      </w:r>
                    </w:p>
                    <w:p w14:paraId="42141215" w14:textId="1A23F116" w:rsidR="00694FD6" w:rsidRPr="008756F8" w:rsidRDefault="00694FD6" w:rsidP="00694FD6">
                      <w:pPr>
                        <w:spacing w:line="276" w:lineRule="auto"/>
                        <w:rPr>
                          <w:rFonts w:ascii="Acumin Pro" w:hAnsi="Acumin Pro"/>
                          <w:sz w:val="22"/>
                          <w:szCs w:val="22"/>
                        </w:rPr>
                      </w:pPr>
                      <w:r>
                        <w:rPr>
                          <w:rFonts w:ascii="Acumin Pro" w:hAnsi="Acumin Pro"/>
                          <w:sz w:val="22"/>
                        </w:rPr>
                        <w:t>S</w:t>
                      </w:r>
                      <w:r w:rsidR="009F0C0C">
                        <w:rPr>
                          <w:rFonts w:ascii="Acumin Pro" w:hAnsi="Acumin Pro"/>
                          <w:sz w:val="22"/>
                        </w:rPr>
                        <w:t>’</w:t>
                      </w:r>
                      <w:r>
                        <w:rPr>
                          <w:rFonts w:ascii="Acumin Pro" w:hAnsi="Acumin Pro"/>
                          <w:sz w:val="22"/>
                        </w:rPr>
                        <w:t>il ne s</w:t>
                      </w:r>
                      <w:r w:rsidR="009F0C0C">
                        <w:rPr>
                          <w:rFonts w:ascii="Acumin Pro" w:hAnsi="Acumin Pro"/>
                          <w:sz w:val="22"/>
                        </w:rPr>
                        <w:t>’</w:t>
                      </w:r>
                      <w:r>
                        <w:rPr>
                          <w:rFonts w:ascii="Acumin Pro" w:hAnsi="Acumin Pro"/>
                          <w:sz w:val="22"/>
                        </w:rPr>
                        <w:t>agit pas d</w:t>
                      </w:r>
                      <w:r w:rsidR="009F0C0C">
                        <w:rPr>
                          <w:rFonts w:ascii="Acumin Pro" w:hAnsi="Acumin Pro"/>
                          <w:sz w:val="22"/>
                        </w:rPr>
                        <w:t>’</w:t>
                      </w:r>
                      <w:r>
                        <w:rPr>
                          <w:rFonts w:ascii="Acumin Pro" w:hAnsi="Acumin Pro"/>
                          <w:sz w:val="22"/>
                        </w:rPr>
                        <w:t>une urgence, vous pouvez contacter la police :</w:t>
                      </w:r>
                    </w:p>
                    <w:p w14:paraId="170686B3" w14:textId="79BF157F"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en utilisant le </w:t>
                      </w:r>
                      <w:hyperlink r:id="rId12" w:history="1">
                        <w:r>
                          <w:rPr>
                            <w:rStyle w:val="Hyperlink"/>
                            <w:rFonts w:ascii="Acumin Pro" w:hAnsi="Acumin Pro"/>
                            <w:color w:val="0070C0"/>
                            <w:sz w:val="22"/>
                          </w:rPr>
                          <w:t>formulaire</w:t>
                        </w:r>
                      </w:hyperlink>
                      <w:r w:rsidR="00971E0C" w:rsidRPr="0030153F">
                        <w:rPr>
                          <w:rStyle w:val="Hyperlink"/>
                          <w:rFonts w:ascii="Acumin Pro" w:hAnsi="Acumin Pro"/>
                          <w:color w:val="0070C0"/>
                          <w:sz w:val="22"/>
                          <w:u w:val="none"/>
                        </w:rPr>
                        <w:t xml:space="preserve"> </w:t>
                      </w:r>
                      <w:r>
                        <w:rPr>
                          <w:rFonts w:ascii="Acumin Pro" w:hAnsi="Acumin Pro"/>
                          <w:sz w:val="22"/>
                        </w:rPr>
                        <w:t>en ligne 105 ;</w:t>
                      </w:r>
                    </w:p>
                    <w:p w14:paraId="706A4E0D" w14:textId="2E74C330"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en composant le 105 depuis n</w:t>
                      </w:r>
                      <w:r w:rsidR="009F0C0C">
                        <w:rPr>
                          <w:rFonts w:ascii="Acumin Pro" w:hAnsi="Acumin Pro"/>
                          <w:sz w:val="22"/>
                        </w:rPr>
                        <w:t>’</w:t>
                      </w:r>
                      <w:r>
                        <w:rPr>
                          <w:rFonts w:ascii="Acumin Pro" w:hAnsi="Acumin Pro"/>
                          <w:sz w:val="22"/>
                        </w:rPr>
                        <w:t>importe quel mobile ou fixe ; ce service est gratuit et disponible 24/7 dans tout le pays ;</w:t>
                      </w:r>
                    </w:p>
                    <w:p w14:paraId="39413E70" w14:textId="0ABCB8E8" w:rsidR="00694FD6" w:rsidRPr="008756F8" w:rsidRDefault="00694FD6" w:rsidP="00694FD6">
                      <w:r>
                        <w:rPr>
                          <w:rFonts w:ascii="Acumin Pro" w:hAnsi="Acumin Pro"/>
                          <w:sz w:val="22"/>
                        </w:rPr>
                        <w:t>Le formulaire 105 demande certaines de vos informations personnelles pour aider la police à traiter votre rapport et vous tenir informé·e. La police n</w:t>
                      </w:r>
                      <w:r w:rsidR="009F0C0C">
                        <w:rPr>
                          <w:rFonts w:ascii="Acumin Pro" w:hAnsi="Acumin Pro"/>
                          <w:sz w:val="22"/>
                        </w:rPr>
                        <w:t>’</w:t>
                      </w:r>
                      <w:r>
                        <w:rPr>
                          <w:rFonts w:ascii="Acumin Pro" w:hAnsi="Acumin Pro"/>
                          <w:sz w:val="22"/>
                        </w:rPr>
                        <w:t>utilise ces informations qu</w:t>
                      </w:r>
                      <w:r w:rsidR="009F0C0C">
                        <w:rPr>
                          <w:rFonts w:ascii="Acumin Pro" w:hAnsi="Acumin Pro"/>
                          <w:sz w:val="22"/>
                        </w:rPr>
                        <w:t>’</w:t>
                      </w:r>
                      <w:r>
                        <w:rPr>
                          <w:rFonts w:ascii="Acumin Pro" w:hAnsi="Acumin Pro"/>
                          <w:sz w:val="22"/>
                        </w:rPr>
                        <w:t>aux fins autorisées.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04DFF0A6">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DD8" w14:textId="77777777" w:rsidR="0048121D" w:rsidRDefault="0048121D">
      <w:r>
        <w:separator/>
      </w:r>
    </w:p>
    <w:p w14:paraId="08991B89" w14:textId="77777777" w:rsidR="0048121D" w:rsidRDefault="0048121D"/>
    <w:p w14:paraId="74C2182E" w14:textId="77777777" w:rsidR="0048121D" w:rsidRDefault="0048121D"/>
  </w:endnote>
  <w:endnote w:type="continuationSeparator" w:id="0">
    <w:p w14:paraId="42E90B01" w14:textId="77777777" w:rsidR="0048121D" w:rsidRDefault="0048121D">
      <w:r>
        <w:continuationSeparator/>
      </w:r>
    </w:p>
    <w:p w14:paraId="0157EC8D" w14:textId="77777777" w:rsidR="0048121D" w:rsidRDefault="0048121D"/>
    <w:p w14:paraId="251A7FC4" w14:textId="77777777" w:rsidR="0048121D" w:rsidRDefault="00481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CCB9" w14:textId="77777777" w:rsidR="0048121D" w:rsidRDefault="0048121D" w:rsidP="00FB1990">
      <w:pPr>
        <w:pStyle w:val="Spacer"/>
      </w:pPr>
      <w:r>
        <w:separator/>
      </w:r>
    </w:p>
    <w:p w14:paraId="1C928EC1" w14:textId="77777777" w:rsidR="0048121D" w:rsidRDefault="0048121D" w:rsidP="00FB1990">
      <w:pPr>
        <w:pStyle w:val="Spacer"/>
      </w:pPr>
    </w:p>
  </w:footnote>
  <w:footnote w:type="continuationSeparator" w:id="0">
    <w:p w14:paraId="3DA3926C" w14:textId="77777777" w:rsidR="0048121D" w:rsidRDefault="0048121D">
      <w:r>
        <w:continuationSeparator/>
      </w:r>
    </w:p>
    <w:p w14:paraId="4734FF71" w14:textId="77777777" w:rsidR="0048121D" w:rsidRDefault="0048121D"/>
    <w:p w14:paraId="57387375" w14:textId="77777777" w:rsidR="0048121D" w:rsidRDefault="00481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5E96D5CE" w:rsidR="00BE6A32" w:rsidRPr="00BE6A32" w:rsidRDefault="00BE6A32" w:rsidP="00F66EA2">
    <w:pPr>
      <w:pStyle w:val="Header"/>
      <w:rPr>
        <w:rFonts w:ascii="Acumin Pro" w:hAnsi="Acumin Pro"/>
      </w:rPr>
    </w:pPr>
    <w:r>
      <w:rPr>
        <w:rStyle w:val="Heading1Char"/>
        <w:rFonts w:ascii="Acumin Pro" w:hAnsi="Acumin Pro"/>
        <w:color w:val="auto"/>
        <w:sz w:val="22"/>
      </w:rPr>
      <w:t xml:space="preserve">                                        Comment signaler une ingérence étrangère</w:t>
    </w:r>
    <w:sdt>
      <w:sdtPr>
        <w:rPr>
          <w:rFonts w:ascii="Acumin Pro" w:hAnsi="Acumin Pro"/>
        </w:rPr>
        <w:id w:val="-28883237"/>
        <w:docPartObj>
          <w:docPartGallery w:val="Page Numbers (Top of Page)"/>
          <w:docPartUnique/>
        </w:docPartObj>
      </w:sdtPr>
      <w:sdtContent>
        <w:r w:rsidR="00971E0C">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AE"/>
    <w:rsid w:val="000F4ADF"/>
    <w:rsid w:val="000F61AF"/>
    <w:rsid w:val="0010171C"/>
    <w:rsid w:val="00102FAD"/>
    <w:rsid w:val="00121870"/>
    <w:rsid w:val="00126FDE"/>
    <w:rsid w:val="0013703F"/>
    <w:rsid w:val="00140ED2"/>
    <w:rsid w:val="00143E7C"/>
    <w:rsid w:val="0014415C"/>
    <w:rsid w:val="0014565E"/>
    <w:rsid w:val="001503B1"/>
    <w:rsid w:val="001509FD"/>
    <w:rsid w:val="001536C9"/>
    <w:rsid w:val="0016433D"/>
    <w:rsid w:val="001667C4"/>
    <w:rsid w:val="00184C0F"/>
    <w:rsid w:val="001A5F55"/>
    <w:rsid w:val="001C0031"/>
    <w:rsid w:val="001C0C30"/>
    <w:rsid w:val="001D0111"/>
    <w:rsid w:val="001D7EAE"/>
    <w:rsid w:val="001E64FC"/>
    <w:rsid w:val="001F0724"/>
    <w:rsid w:val="002007DF"/>
    <w:rsid w:val="00200843"/>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153F"/>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65E88"/>
    <w:rsid w:val="00472A55"/>
    <w:rsid w:val="00476068"/>
    <w:rsid w:val="004763B3"/>
    <w:rsid w:val="00477619"/>
    <w:rsid w:val="0048121D"/>
    <w:rsid w:val="00486E6E"/>
    <w:rsid w:val="004875DF"/>
    <w:rsid w:val="004879DF"/>
    <w:rsid w:val="00487C1D"/>
    <w:rsid w:val="00490B01"/>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73B22"/>
    <w:rsid w:val="0079750E"/>
    <w:rsid w:val="007A6226"/>
    <w:rsid w:val="007B3C61"/>
    <w:rsid w:val="007D1918"/>
    <w:rsid w:val="007F03F2"/>
    <w:rsid w:val="008031DF"/>
    <w:rsid w:val="008065D7"/>
    <w:rsid w:val="008111A3"/>
    <w:rsid w:val="00814776"/>
    <w:rsid w:val="00816E30"/>
    <w:rsid w:val="0082264B"/>
    <w:rsid w:val="008236BF"/>
    <w:rsid w:val="008275BE"/>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A3B5B"/>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1E0C"/>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9F0C0C"/>
    <w:rsid w:val="00A04392"/>
    <w:rsid w:val="00A04CDD"/>
    <w:rsid w:val="00A069CE"/>
    <w:rsid w:val="00A109D8"/>
    <w:rsid w:val="00A11C82"/>
    <w:rsid w:val="00A156D4"/>
    <w:rsid w:val="00A16003"/>
    <w:rsid w:val="00A167D7"/>
    <w:rsid w:val="00A2177B"/>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41ED"/>
    <w:rsid w:val="00BE6A32"/>
    <w:rsid w:val="00BF1AB7"/>
    <w:rsid w:val="00BF7FE9"/>
    <w:rsid w:val="00C03596"/>
    <w:rsid w:val="00C039A7"/>
    <w:rsid w:val="00C05EEC"/>
    <w:rsid w:val="00C123AB"/>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5358"/>
    <w:rsid w:val="00CB0B17"/>
    <w:rsid w:val="00CB1DCA"/>
    <w:rsid w:val="00CD3560"/>
    <w:rsid w:val="00CD502A"/>
    <w:rsid w:val="00CE1DC8"/>
    <w:rsid w:val="00CF12CF"/>
    <w:rsid w:val="00CF4BE3"/>
    <w:rsid w:val="00D060D2"/>
    <w:rsid w:val="00D13E2D"/>
    <w:rsid w:val="00D14394"/>
    <w:rsid w:val="00D235BD"/>
    <w:rsid w:val="00D242CD"/>
    <w:rsid w:val="00D26F74"/>
    <w:rsid w:val="00D341C3"/>
    <w:rsid w:val="00D42843"/>
    <w:rsid w:val="00D5152A"/>
    <w:rsid w:val="00D560EB"/>
    <w:rsid w:val="00D57871"/>
    <w:rsid w:val="00D65145"/>
    <w:rsid w:val="00D72AD3"/>
    <w:rsid w:val="00D73D87"/>
    <w:rsid w:val="00D74314"/>
    <w:rsid w:val="00D75F6F"/>
    <w:rsid w:val="00D81410"/>
    <w:rsid w:val="00D9046D"/>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5E88"/>
    <w:rsid w:val="00EF63C6"/>
    <w:rsid w:val="00F034FB"/>
    <w:rsid w:val="00F05606"/>
    <w:rsid w:val="00F105F5"/>
    <w:rsid w:val="00F1075A"/>
    <w:rsid w:val="00F14CFC"/>
    <w:rsid w:val="00F15796"/>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fr-FR"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fr-F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fr-F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fr-F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fr-F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fr-F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fr-F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fr-F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fr-F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fr-F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fr-FR" w:eastAsia="en-US"/>
    </w:rPr>
  </w:style>
  <w:style w:type="character" w:customStyle="1" w:styleId="FooterChar">
    <w:name w:val="Footer Char"/>
    <w:basedOn w:val="DefaultParagraphFont"/>
    <w:link w:val="Footer"/>
    <w:uiPriority w:val="99"/>
    <w:rsid w:val="00065F18"/>
    <w:rPr>
      <w:rFonts w:eastAsiaTheme="minorHAnsi"/>
      <w:i/>
      <w:sz w:val="20"/>
      <w:lang w:val="fr-F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fr-F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2024-11-28T09:20:00Z</dcterms:created>
  <dcterms:modified xsi:type="dcterms:W3CDTF">2024-11-29T09:22:00Z</dcterms:modified>
</cp:coreProperties>
</file>