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D834B" w14:textId="7EE6DCFD" w:rsidR="00E16903" w:rsidRDefault="00000000">
      <w:pPr>
        <w:tabs>
          <w:tab w:val="left" w:pos="1029"/>
        </w:tabs>
        <w:spacing w:after="120"/>
        <w:rPr>
          <w:rFonts w:ascii="Acumin Pro" w:eastAsia="Acumin Pro" w:hAnsi="Acumin Pro" w:cs="Acumin Pro"/>
          <w:b/>
          <w:color w:val="00908B"/>
          <w:sz w:val="48"/>
          <w:szCs w:val="48"/>
        </w:rPr>
      </w:pPr>
      <w:r>
        <w:rPr>
          <w:rFonts w:ascii="Acumin Pro" w:eastAsia="Acumin Pro" w:hAnsi="Acumin Pro" w:cs="Acumin Pro"/>
          <w:b/>
          <w:color w:val="00908B"/>
          <w:sz w:val="48"/>
          <w:szCs w:val="48"/>
        </w:rPr>
        <w:tab/>
      </w:r>
      <w:r>
        <w:rPr>
          <w:rFonts w:ascii="Acumin Pro" w:eastAsia="Acumin Pro" w:hAnsi="Acumin Pro" w:cs="Acumin Pro"/>
          <w:b/>
          <w:color w:val="00908B"/>
          <w:sz w:val="48"/>
          <w:szCs w:val="48"/>
        </w:rPr>
        <w:br/>
      </w:r>
      <w:r>
        <w:rPr>
          <w:rFonts w:ascii="Acumin Pro" w:eastAsia="Acumin Pro" w:hAnsi="Acumin Pro" w:cs="Acumin Pro"/>
          <w:b/>
          <w:color w:val="00908B"/>
          <w:sz w:val="62"/>
          <w:szCs w:val="62"/>
        </w:rPr>
        <w:br/>
        <w:t>A interferência estrangeira prejudica os direitos e a liberdade das pessoas na Nova</w:t>
      </w:r>
      <w:r w:rsidR="00534A0F">
        <w:rPr>
          <w:rFonts w:ascii="Acumin Pro" w:eastAsia="Acumin Pro" w:hAnsi="Acumin Pro" w:cs="Acumin Pro"/>
          <w:b/>
          <w:color w:val="00908B"/>
          <w:sz w:val="62"/>
          <w:szCs w:val="62"/>
        </w:rPr>
        <w:t> </w:t>
      </w:r>
      <w:r>
        <w:rPr>
          <w:rFonts w:ascii="Acumin Pro" w:eastAsia="Acumin Pro" w:hAnsi="Acumin Pro" w:cs="Acumin Pro"/>
          <w:b/>
          <w:color w:val="00908B"/>
          <w:sz w:val="62"/>
          <w:szCs w:val="62"/>
        </w:rPr>
        <w:t>Zelândia</w:t>
      </w:r>
      <w:r>
        <w:rPr>
          <w:noProof/>
        </w:rPr>
        <w:drawing>
          <wp:anchor distT="0" distB="0" distL="0" distR="0" simplePos="0" relativeHeight="251658240" behindDoc="1" locked="0" layoutInCell="1" hidden="0" allowOverlap="1" wp14:anchorId="2CD88753" wp14:editId="09CC4B54">
            <wp:simplePos x="0" y="0"/>
            <wp:positionH relativeFrom="column">
              <wp:posOffset>-120649</wp:posOffset>
            </wp:positionH>
            <wp:positionV relativeFrom="paragraph">
              <wp:posOffset>-247649</wp:posOffset>
            </wp:positionV>
            <wp:extent cx="2218414" cy="871709"/>
            <wp:effectExtent l="0" t="0" r="0" b="0"/>
            <wp:wrapNone/>
            <wp:docPr id="1983189023" name="image1.png" descr="A black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blue logo&#10;&#10;Description automatically generated"/>
                    <pic:cNvPicPr preferRelativeResize="0"/>
                  </pic:nvPicPr>
                  <pic:blipFill>
                    <a:blip r:embed="rId8"/>
                    <a:srcRect/>
                    <a:stretch>
                      <a:fillRect/>
                    </a:stretch>
                  </pic:blipFill>
                  <pic:spPr>
                    <a:xfrm>
                      <a:off x="0" y="0"/>
                      <a:ext cx="2218414" cy="871709"/>
                    </a:xfrm>
                    <a:prstGeom prst="rect">
                      <a:avLst/>
                    </a:prstGeom>
                    <a:ln/>
                  </pic:spPr>
                </pic:pic>
              </a:graphicData>
            </a:graphic>
          </wp:anchor>
        </w:drawing>
      </w:r>
    </w:p>
    <w:p w14:paraId="2832B6A1" w14:textId="77777777" w:rsidR="00E16903" w:rsidRDefault="00000000">
      <w:pPr>
        <w:rPr>
          <w:rFonts w:ascii="Acumin Pro" w:eastAsia="Acumin Pro" w:hAnsi="Acumin Pro" w:cs="Acumin Pro"/>
          <w:b/>
          <w:color w:val="00908B"/>
          <w:sz w:val="28"/>
          <w:szCs w:val="28"/>
        </w:rPr>
      </w:pPr>
      <w:r>
        <w:rPr>
          <w:noProof/>
        </w:rPr>
        <mc:AlternateContent>
          <mc:Choice Requires="wps">
            <w:drawing>
              <wp:anchor distT="0" distB="0" distL="0" distR="0" simplePos="0" relativeHeight="251659264" behindDoc="1" locked="0" layoutInCell="1" hidden="0" allowOverlap="1" wp14:anchorId="7D7296A0" wp14:editId="30097269">
                <wp:simplePos x="0" y="0"/>
                <wp:positionH relativeFrom="column">
                  <wp:posOffset>-25399</wp:posOffset>
                </wp:positionH>
                <wp:positionV relativeFrom="paragraph">
                  <wp:posOffset>317500</wp:posOffset>
                </wp:positionV>
                <wp:extent cx="6035675" cy="2461260"/>
                <wp:effectExtent l="0" t="0" r="0" b="0"/>
                <wp:wrapNone/>
                <wp:docPr id="1983189022" name="Round Diagonal Corner of Rectangle 1983189022"/>
                <wp:cNvGraphicFramePr/>
                <a:graphic xmlns:a="http://schemas.openxmlformats.org/drawingml/2006/main">
                  <a:graphicData uri="http://schemas.microsoft.com/office/word/2010/wordprocessingShape">
                    <wps:wsp>
                      <wps:cNvSpPr/>
                      <wps:spPr>
                        <a:xfrm>
                          <a:off x="2356738" y="2577945"/>
                          <a:ext cx="5978525" cy="2404110"/>
                        </a:xfrm>
                        <a:prstGeom prst="round2DiagRect">
                          <a:avLst>
                            <a:gd name="adj1" fmla="val 14419"/>
                            <a:gd name="adj2" fmla="val 0"/>
                          </a:avLst>
                        </a:prstGeom>
                        <a:solidFill>
                          <a:srgbClr val="AED5DA"/>
                        </a:solidFill>
                        <a:ln w="57150" cap="flat" cmpd="sng">
                          <a:solidFill>
                            <a:srgbClr val="007472"/>
                          </a:solidFill>
                          <a:prstDash val="solid"/>
                          <a:round/>
                          <a:headEnd type="none" w="sm" len="sm"/>
                          <a:tailEnd type="none" w="sm" len="sm"/>
                        </a:ln>
                      </wps:spPr>
                      <wps:txbx>
                        <w:txbxContent>
                          <w:p w14:paraId="67EF7DD7" w14:textId="7EF207FE" w:rsidR="00E16903" w:rsidRDefault="00000000">
                            <w:pPr>
                              <w:spacing w:line="275" w:lineRule="auto"/>
                              <w:textDirection w:val="btLr"/>
                            </w:pPr>
                            <w:r>
                              <w:rPr>
                                <w:rFonts w:ascii="Acumin Pro" w:eastAsia="Acumin Pro" w:hAnsi="Acumin Pro" w:cs="Acumin Pro"/>
                                <w:b/>
                                <w:color w:val="000000"/>
                              </w:rPr>
                              <w:t xml:space="preserve">O Serviço de Inteligência de Segurança da Nova Zelândia (NZSIS) define </w:t>
                            </w:r>
                            <w:r>
                              <w:rPr>
                                <w:rFonts w:ascii="Acumin Pro" w:eastAsia="Acumin Pro" w:hAnsi="Acumin Pro" w:cs="Acumin Pro"/>
                                <w:color w:val="000000"/>
                              </w:rPr>
                              <w:t>interferência estrangeira como um ato de um estado estrangeiro, geralmente agindo por meio de um representante, que visa influenciar, perturbar ou subverter os interesses nacionais da Nova Zelândia por meios enganosos, corruptos ou coercitivos. Atividades diplomáticas normais, lobby e outros esforços genuínos e abertos para ganhar influência não são considerados interferência.</w:t>
                            </w:r>
                            <w:r>
                              <w:rPr>
                                <w:rFonts w:ascii="Acumin Pro" w:eastAsia="Acumin Pro" w:hAnsi="Acumin Pro" w:cs="Acumin Pro"/>
                                <w:color w:val="000000"/>
                              </w:rPr>
                              <w:br/>
                            </w:r>
                            <w:r>
                              <w:rPr>
                                <w:rFonts w:ascii="Acumin Pro" w:eastAsia="Acumin Pro" w:hAnsi="Acumin Pro" w:cs="Acumin Pro"/>
                                <w:color w:val="000000"/>
                              </w:rPr>
                              <w:br/>
                              <w:t xml:space="preserve">Nestes exemplos “estado estrangeiro” significa </w:t>
                            </w:r>
                            <w:r>
                              <w:rPr>
                                <w:rFonts w:ascii="Acumin Pro" w:eastAsia="Acumin Pro" w:hAnsi="Acumin Pro" w:cs="Acumin Pro"/>
                                <w:b/>
                                <w:color w:val="000000"/>
                              </w:rPr>
                              <w:t xml:space="preserve">qualquer país que não a </w:t>
                            </w:r>
                            <w:r>
                              <w:rPr>
                                <w:rFonts w:ascii="Acumin Pro" w:eastAsia="Acumin Pro" w:hAnsi="Acumin Pro" w:cs="Acumin Pro"/>
                                <w:b/>
                                <w:color w:val="000000"/>
                              </w:rPr>
                              <w:br/>
                              <w:t>Nova Zelândia</w:t>
                            </w:r>
                            <w:r>
                              <w:rPr>
                                <w:rFonts w:ascii="Acumin Pro" w:eastAsia="Acumin Pro" w:hAnsi="Acumin Pro" w:cs="Acumin Pro"/>
                                <w:color w:val="000000"/>
                              </w:rPr>
                              <w:t>. Esse termo é usado para se referir a países que não a Nova Zelândia.</w:t>
                            </w:r>
                          </w:p>
                        </w:txbxContent>
                      </wps:txbx>
                      <wps:bodyPr spcFirstLastPara="1" wrap="square" lIns="91425" tIns="45700" rIns="91425" bIns="45700" anchor="ctr" anchorCtr="0">
                        <a:noAutofit/>
                      </wps:bodyPr>
                    </wps:wsp>
                  </a:graphicData>
                </a:graphic>
              </wp:anchor>
            </w:drawing>
          </mc:Choice>
          <mc:Fallback>
            <w:pict>
              <v:shape w14:anchorId="7D7296A0" id="Round Diagonal Corner of Rectangle 1983189022" o:spid="_x0000_s1026" style="position:absolute;margin-left:-2pt;margin-top:25pt;width:475.25pt;height:193.8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5978525,2404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" adj="-11796480,,5400" path="m346649,l5978525,r,l5978525,2057461v,191449,-155200,346649,-346649,346649l,2404110r,l,346649c,155200,155200,,346649,xe" fillcolor="#aed5da" strokecolor="#007472" strokeweight="4.5pt">
                <v:stroke startarrowwidth="narrow" startarrowlength="short" endarrowwidth="narrow" endarrowlength="short" joinstyle="round"/>
                <v:formulas/>
                <v:path arrowok="t" o:connecttype="custom" o:connectlocs="346649,0;5978525,0;5978525,0;5978525,2057461;5631876,2404110;0,2404110;0,2404110;0,346649;346649,0" o:connectangles="0,0,0,0,0,0,0,0,0" textboxrect="0,0,5978525,2404110"/>
                <v:textbox inset="2.53958mm,1.2694mm,2.53958mm,1.2694mm">
                  <w:txbxContent>
                    <w:p w14:paraId="67EF7DD7" w14:textId="7EF207FE" w:rsidR="00E16903" w:rsidRDefault="00000000">
                      <w:pPr>
                        <w:spacing w:line="275" w:lineRule="auto"/>
                        <w:textDirection w:val="btLr"/>
                      </w:pPr>
                      <w:r>
                        <w:rPr>
                          <w:rFonts w:ascii="Acumin Pro" w:eastAsia="Acumin Pro" w:hAnsi="Acumin Pro" w:cs="Acumin Pro"/>
                          <w:b/>
                          <w:color w:val="000000"/>
                        </w:rPr>
                        <w:t xml:space="preserve">O Serviço de Inteligência de Segurança da Nova Zelândia (NZSIS) define </w:t>
                      </w:r>
                      <w:r>
                        <w:rPr>
                          <w:rFonts w:ascii="Acumin Pro" w:eastAsia="Acumin Pro" w:hAnsi="Acumin Pro" w:cs="Acumin Pro"/>
                          <w:color w:val="000000"/>
                        </w:rPr>
                        <w:t>interferência estrangeira como um ato de um estado estrangeiro, geralmente agindo por meio de um representante, que visa influenciar, perturbar ou subverter os interesses nacionais da Nova Zelândia por meios enganosos, corruptos ou coercitivos. Atividades diplomáticas normais, lobby e outros esforços genuínos e abertos para ganhar influência não são considerados interferência.</w:t>
                      </w:r>
                      <w:r>
                        <w:rPr>
                          <w:rFonts w:ascii="Acumin Pro" w:eastAsia="Acumin Pro" w:hAnsi="Acumin Pro" w:cs="Acumin Pro"/>
                          <w:color w:val="000000"/>
                        </w:rPr>
                        <w:br/>
                      </w:r>
                      <w:r>
                        <w:rPr>
                          <w:rFonts w:ascii="Acumin Pro" w:eastAsia="Acumin Pro" w:hAnsi="Acumin Pro" w:cs="Acumin Pro"/>
                          <w:color w:val="000000"/>
                        </w:rPr>
                        <w:br/>
                        <w:t xml:space="preserve">Nestes exemplos “estado estrangeiro” significa </w:t>
                      </w:r>
                      <w:r>
                        <w:rPr>
                          <w:rFonts w:ascii="Acumin Pro" w:eastAsia="Acumin Pro" w:hAnsi="Acumin Pro" w:cs="Acumin Pro"/>
                          <w:b/>
                          <w:color w:val="000000"/>
                        </w:rPr>
                        <w:t xml:space="preserve">qualquer país que não a </w:t>
                      </w:r>
                      <w:r>
                        <w:rPr>
                          <w:rFonts w:ascii="Acumin Pro" w:eastAsia="Acumin Pro" w:hAnsi="Acumin Pro" w:cs="Acumin Pro"/>
                          <w:b/>
                          <w:color w:val="000000"/>
                        </w:rPr>
                        <w:br/>
                        <w:t>Nova Zelândia</w:t>
                      </w:r>
                      <w:r>
                        <w:rPr>
                          <w:rFonts w:ascii="Acumin Pro" w:eastAsia="Acumin Pro" w:hAnsi="Acumin Pro" w:cs="Acumin Pro"/>
                          <w:color w:val="000000"/>
                        </w:rPr>
                        <w:t>. Esse termo é usado para se referir a países que não a Nova Zelândia.</w:t>
                      </w:r>
                    </w:p>
                  </w:txbxContent>
                </v:textbox>
              </v:shape>
            </w:pict>
          </mc:Fallback>
        </mc:AlternateContent>
      </w:r>
    </w:p>
    <w:p w14:paraId="3C9504EC" w14:textId="77777777" w:rsidR="00E16903" w:rsidRDefault="00E16903">
      <w:pPr>
        <w:spacing w:after="180"/>
        <w:rPr>
          <w:b/>
          <w:sz w:val="22"/>
          <w:szCs w:val="22"/>
        </w:rPr>
      </w:pPr>
    </w:p>
    <w:p w14:paraId="3BEAA1AF" w14:textId="77777777" w:rsidR="00E16903" w:rsidRDefault="00E16903">
      <w:pPr>
        <w:spacing w:after="180"/>
        <w:rPr>
          <w:b/>
          <w:sz w:val="22"/>
          <w:szCs w:val="22"/>
        </w:rPr>
      </w:pPr>
    </w:p>
    <w:p w14:paraId="33498925" w14:textId="77777777" w:rsidR="00E16903" w:rsidRDefault="00E16903">
      <w:pPr>
        <w:spacing w:after="180"/>
        <w:rPr>
          <w:b/>
          <w:sz w:val="22"/>
          <w:szCs w:val="22"/>
        </w:rPr>
      </w:pPr>
    </w:p>
    <w:p w14:paraId="271F30BA" w14:textId="77777777" w:rsidR="00E16903" w:rsidRDefault="00E16903">
      <w:pPr>
        <w:spacing w:after="180"/>
        <w:rPr>
          <w:b/>
          <w:sz w:val="22"/>
          <w:szCs w:val="22"/>
        </w:rPr>
      </w:pPr>
    </w:p>
    <w:p w14:paraId="729D12B4" w14:textId="77777777" w:rsidR="00E16903" w:rsidRDefault="00E16903">
      <w:pPr>
        <w:spacing w:after="180"/>
        <w:rPr>
          <w:b/>
          <w:sz w:val="22"/>
          <w:szCs w:val="22"/>
        </w:rPr>
      </w:pPr>
    </w:p>
    <w:p w14:paraId="0EE37A01" w14:textId="77777777" w:rsidR="00E16903" w:rsidRDefault="00E16903">
      <w:pPr>
        <w:spacing w:after="180"/>
        <w:rPr>
          <w:b/>
        </w:rPr>
      </w:pPr>
    </w:p>
    <w:p w14:paraId="47CC4085" w14:textId="77777777" w:rsidR="00E16903" w:rsidRDefault="00E16903">
      <w:pPr>
        <w:spacing w:after="180"/>
        <w:rPr>
          <w:rFonts w:ascii="Acumin Pro" w:eastAsia="Acumin Pro" w:hAnsi="Acumin Pro" w:cs="Acumin Pro"/>
          <w:b/>
          <w:sz w:val="26"/>
          <w:szCs w:val="26"/>
        </w:rPr>
      </w:pPr>
    </w:p>
    <w:p w14:paraId="01D40516" w14:textId="77777777" w:rsidR="00E16903" w:rsidRDefault="00000000">
      <w:pPr>
        <w:spacing w:after="180"/>
        <w:rPr>
          <w:rFonts w:ascii="Acumin Pro" w:eastAsia="Acumin Pro" w:hAnsi="Acumin Pro" w:cs="Acumin Pro"/>
          <w:b/>
          <w:color w:val="00908B"/>
          <w:sz w:val="36"/>
          <w:szCs w:val="36"/>
        </w:rPr>
      </w:pPr>
      <w:r>
        <w:rPr>
          <w:rFonts w:ascii="Acumin Pro" w:eastAsia="Acumin Pro" w:hAnsi="Acumin Pro" w:cs="Acumin Pro"/>
          <w:b/>
          <w:color w:val="00908B"/>
          <w:sz w:val="28"/>
          <w:szCs w:val="28"/>
        </w:rPr>
        <w:br/>
      </w:r>
    </w:p>
    <w:p w14:paraId="3DD3DD82" w14:textId="77777777" w:rsidR="00E16903" w:rsidRDefault="00000000">
      <w:pPr>
        <w:spacing w:after="180"/>
        <w:rPr>
          <w:rFonts w:ascii="Acumin Pro" w:eastAsia="Acumin Pro" w:hAnsi="Acumin Pro" w:cs="Acumin Pro"/>
          <w:b/>
          <w:color w:val="00908B"/>
          <w:sz w:val="26"/>
          <w:szCs w:val="26"/>
        </w:rPr>
      </w:pPr>
      <w:r>
        <w:rPr>
          <w:rFonts w:ascii="Acumin Pro" w:eastAsia="Acumin Pro" w:hAnsi="Acumin Pro" w:cs="Acumin Pro"/>
          <w:b/>
          <w:color w:val="00908B"/>
          <w:sz w:val="38"/>
          <w:szCs w:val="38"/>
        </w:rPr>
        <w:t xml:space="preserve">A interferência estrangeira prejudica os direitos e a liberdade das comunidades étnicas </w:t>
      </w:r>
    </w:p>
    <w:p w14:paraId="03E586C5" w14:textId="77777777" w:rsidR="00E16903" w:rsidRDefault="00000000">
      <w:pPr>
        <w:spacing w:before="0" w:after="0" w:line="276" w:lineRule="auto"/>
        <w:rPr>
          <w:rFonts w:ascii="Acumin Pro" w:eastAsia="Acumin Pro" w:hAnsi="Acumin Pro" w:cs="Acumin Pro"/>
          <w:sz w:val="22"/>
          <w:szCs w:val="22"/>
        </w:rPr>
      </w:pPr>
      <w:r>
        <w:rPr>
          <w:rFonts w:ascii="Acumin Pro" w:eastAsia="Acumin Pro" w:hAnsi="Acumin Pro" w:cs="Acumin Pro"/>
          <w:sz w:val="22"/>
          <w:szCs w:val="22"/>
        </w:rPr>
        <w:t>A interferência estrangeira ocorre quando estados estrangeiros tentam interferir na Nova Zelândia para atingir seus próprios objetivos. Esses estados estrangeiros querem controlar e mudar a sociedade, os interesses e os comportamentos da Nova Zelândia. Eles fazem isso para ter mais influência e controle.</w:t>
      </w:r>
    </w:p>
    <w:p w14:paraId="176FE313" w14:textId="77777777" w:rsidR="00E16903" w:rsidRDefault="00E16903">
      <w:pPr>
        <w:spacing w:before="0" w:after="0" w:line="276" w:lineRule="auto"/>
        <w:rPr>
          <w:rFonts w:ascii="Acumin Pro" w:eastAsia="Acumin Pro" w:hAnsi="Acumin Pro" w:cs="Acumin Pro"/>
          <w:sz w:val="22"/>
          <w:szCs w:val="22"/>
        </w:rPr>
      </w:pPr>
    </w:p>
    <w:p w14:paraId="3A670986" w14:textId="77777777" w:rsidR="00E16903" w:rsidRDefault="00000000">
      <w:pPr>
        <w:spacing w:before="0" w:after="0" w:line="276" w:lineRule="auto"/>
        <w:rPr>
          <w:rFonts w:ascii="Acumin Pro" w:eastAsia="Acumin Pro" w:hAnsi="Acumin Pro" w:cs="Acumin Pro"/>
          <w:sz w:val="22"/>
          <w:szCs w:val="22"/>
        </w:rPr>
      </w:pPr>
      <w:r>
        <w:rPr>
          <w:rFonts w:ascii="Acumin Pro" w:eastAsia="Acumin Pro" w:hAnsi="Acumin Pro" w:cs="Acumin Pro"/>
          <w:sz w:val="22"/>
          <w:szCs w:val="22"/>
        </w:rPr>
        <w:t xml:space="preserve">A interferência estrangeira prejudica a independência, a democracia, a economia, a reputação e as comunidades da Nova Zelândia. As comunidades étnicas na Nova Zelândia podem receber atenção indesejada de estados estrangeiros, fazendo com que se sintam inseguras e prejudicando seus direitos e a liberdade. Atividades diplomáticas normais entre países não são interferências estrangeiras. </w:t>
      </w:r>
    </w:p>
    <w:p w14:paraId="1DE5274F" w14:textId="77777777" w:rsidR="00E16903" w:rsidRDefault="00000000">
      <w:pPr>
        <w:keepLines w:val="0"/>
      </w:pPr>
      <w:r>
        <w:br w:type="page"/>
      </w:r>
    </w:p>
    <w:p w14:paraId="42DE2993" w14:textId="77777777" w:rsidR="00534A0F" w:rsidRPr="00534A0F" w:rsidRDefault="00534A0F" w:rsidP="00534A0F">
      <w:pPr>
        <w:rPr>
          <w:rFonts w:ascii="Acumin Pro" w:eastAsia="Acumin Pro" w:hAnsi="Acumin Pro" w:cs="Acumin Pro"/>
          <w:sz w:val="22"/>
          <w:szCs w:val="22"/>
        </w:rPr>
      </w:pPr>
    </w:p>
    <w:p w14:paraId="7B21BC11" w14:textId="77777777" w:rsidR="00E16903" w:rsidRDefault="00000000">
      <w:pPr>
        <w:spacing w:after="180"/>
        <w:rPr>
          <w:rFonts w:ascii="Acumin Pro" w:eastAsia="Acumin Pro" w:hAnsi="Acumin Pro" w:cs="Acumin Pro"/>
          <w:b/>
          <w:color w:val="00908B"/>
          <w:sz w:val="36"/>
          <w:szCs w:val="36"/>
        </w:rPr>
      </w:pPr>
      <w:r>
        <w:rPr>
          <w:rFonts w:ascii="Acumin Pro" w:eastAsia="Acumin Pro" w:hAnsi="Acumin Pro" w:cs="Acumin Pro"/>
          <w:b/>
          <w:color w:val="00908B"/>
          <w:sz w:val="38"/>
          <w:szCs w:val="38"/>
        </w:rPr>
        <w:br/>
      </w:r>
      <w:r>
        <w:rPr>
          <w:rFonts w:ascii="Acumin Pro" w:eastAsia="Acumin Pro" w:hAnsi="Acumin Pro" w:cs="Acumin Pro"/>
          <w:b/>
          <w:color w:val="00908B"/>
          <w:sz w:val="40"/>
          <w:szCs w:val="40"/>
        </w:rPr>
        <w:t>Como pode ocorrer interferência estrangeira nas comunidades étnicas?</w:t>
      </w:r>
      <w:r>
        <w:rPr>
          <w:noProof/>
        </w:rPr>
        <mc:AlternateContent>
          <mc:Choice Requires="wpg">
            <w:drawing>
              <wp:anchor distT="0" distB="0" distL="0" distR="0" simplePos="0" relativeHeight="251660288" behindDoc="1" locked="0" layoutInCell="1" hidden="0" allowOverlap="1" wp14:anchorId="7576EA67" wp14:editId="6E0B5D76">
                <wp:simplePos x="0" y="0"/>
                <wp:positionH relativeFrom="column">
                  <wp:posOffset>-342899</wp:posOffset>
                </wp:positionH>
                <wp:positionV relativeFrom="paragraph">
                  <wp:posOffset>-38099</wp:posOffset>
                </wp:positionV>
                <wp:extent cx="6351905" cy="8978900"/>
                <wp:effectExtent l="0" t="0" r="0" b="0"/>
                <wp:wrapNone/>
                <wp:docPr id="1983189021" name="Round Diagonal Corner of Rectangle 1983189021"/>
                <wp:cNvGraphicFramePr/>
                <a:graphic xmlns:a="http://schemas.openxmlformats.org/drawingml/2006/main">
                  <a:graphicData uri="http://schemas.microsoft.com/office/word/2010/wordprocessingShape">
                    <wps:wsp>
                      <wps:cNvSpPr/>
                      <wps:spPr>
                        <a:xfrm>
                          <a:off x="2208148" y="0"/>
                          <a:ext cx="6275705" cy="7560000"/>
                        </a:xfrm>
                        <a:prstGeom prst="round2DiagRect">
                          <a:avLst>
                            <a:gd name="adj1" fmla="val 6637"/>
                            <a:gd name="adj2" fmla="val 0"/>
                          </a:avLst>
                        </a:prstGeom>
                        <a:solidFill>
                          <a:schemeClr val="lt1"/>
                        </a:solidFill>
                        <a:ln w="76200" cap="flat" cmpd="sng">
                          <a:solidFill>
                            <a:srgbClr val="007472"/>
                          </a:solidFill>
                          <a:prstDash val="solid"/>
                          <a:round/>
                          <a:headEnd type="none" w="sm" len="sm"/>
                          <a:tailEnd type="none" w="sm" len="sm"/>
                        </a:ln>
                      </wps:spPr>
                      <wps:txbx>
                        <w:txbxContent>
                          <w:p w14:paraId="5BE09F9F" w14:textId="77777777" w:rsidR="00E16903" w:rsidRDefault="00E1690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-342899</wp:posOffset>
                </wp:positionH>
                <wp:positionV relativeFrom="paragraph">
                  <wp:posOffset>-38099</wp:posOffset>
                </wp:positionV>
                <wp:extent cx="6351905" cy="8978900"/>
                <wp:effectExtent b="0" l="0" r="0" t="0"/>
                <wp:wrapNone/>
                <wp:docPr id="198318902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51905" cy="8978900"/>
                        </a:xfrm>
                        <a:prstGeom prst="rect"/>
                        <a:ln/>
                      </pic:spPr>
                    </pic:pic>
                  </a:graphicData>
                </a:graphic>
              </wp:anchor>
            </w:drawing>
          </mc:Fallback>
        </mc:AlternateContent>
      </w:r>
      <w:r>
        <w:rPr>
          <w:noProof/>
        </w:rPr>
        <w:drawing>
          <wp:anchor distT="0" distB="0" distL="0" distR="0" simplePos="0" relativeHeight="251661312" behindDoc="1" locked="0" layoutInCell="1" hidden="0" allowOverlap="1" wp14:anchorId="450D7539" wp14:editId="3056E134">
            <wp:simplePos x="0" y="0"/>
            <wp:positionH relativeFrom="column">
              <wp:posOffset>-544194</wp:posOffset>
            </wp:positionH>
            <wp:positionV relativeFrom="paragraph">
              <wp:posOffset>-649604</wp:posOffset>
            </wp:positionV>
            <wp:extent cx="540789" cy="508000"/>
            <wp:effectExtent l="0" t="0" r="0" b="0"/>
            <wp:wrapNone/>
            <wp:docPr id="1983189025"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black logo&#10;&#10;Description automatically generated"/>
                    <pic:cNvPicPr preferRelativeResize="0"/>
                  </pic:nvPicPr>
                  <pic:blipFill>
                    <a:blip r:embed="rId11"/>
                    <a:srcRect/>
                    <a:stretch>
                      <a:fillRect/>
                    </a:stretch>
                  </pic:blipFill>
                  <pic:spPr>
                    <a:xfrm>
                      <a:off x="0" y="0"/>
                      <a:ext cx="540789" cy="508000"/>
                    </a:xfrm>
                    <a:prstGeom prst="rect">
                      <a:avLst/>
                    </a:prstGeom>
                    <a:ln/>
                  </pic:spPr>
                </pic:pic>
              </a:graphicData>
            </a:graphic>
          </wp:anchor>
        </w:drawing>
      </w:r>
    </w:p>
    <w:p w14:paraId="5838C51F" w14:textId="77777777" w:rsidR="00E16903" w:rsidRDefault="00000000">
      <w:pPr>
        <w:spacing w:line="276" w:lineRule="auto"/>
        <w:rPr>
          <w:rFonts w:ascii="Acumin Pro" w:eastAsia="Acumin Pro" w:hAnsi="Acumin Pro" w:cs="Acumin Pro"/>
          <w:b/>
          <w:sz w:val="22"/>
          <w:szCs w:val="22"/>
        </w:rPr>
        <w:sectPr w:rsidR="00E16903">
          <w:headerReference w:type="default" r:id="rId12"/>
          <w:footerReference w:type="default" r:id="rId13"/>
          <w:headerReference w:type="first" r:id="rId14"/>
          <w:footerReference w:type="first" r:id="rId15"/>
          <w:pgSz w:w="11907" w:h="16840"/>
          <w:pgMar w:top="1418" w:right="1418" w:bottom="992" w:left="1418" w:header="425" w:footer="635" w:gutter="0"/>
          <w:pgNumType w:start="1"/>
          <w:cols w:space="720"/>
          <w:titlePg/>
        </w:sectPr>
      </w:pPr>
      <w:r>
        <w:rPr>
          <w:rFonts w:ascii="Acumin Pro" w:eastAsia="Acumin Pro" w:hAnsi="Acumin Pro" w:cs="Acumin Pro"/>
          <w:sz w:val="22"/>
          <w:szCs w:val="22"/>
        </w:rPr>
        <w:t>Interferências estrangeiras sofridas por comunidades étnicas podem ser difíceis de identificar. Aqui estão alguns exemplos de atividades de interferência estrangeira por um estado estrangeiro ou por alguém agindo em seu nome na Nova Zelândia:</w:t>
      </w:r>
      <w:r>
        <w:rPr>
          <w:rFonts w:ascii="Acumin Pro" w:eastAsia="Acumin Pro" w:hAnsi="Acumin Pro" w:cs="Acumin Pro"/>
          <w:sz w:val="22"/>
          <w:szCs w:val="22"/>
        </w:rPr>
        <w:br/>
      </w:r>
    </w:p>
    <w:p w14:paraId="14EF1426"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tentar controlar e intimidar comunidades ou grupos/organizações comunitárias</w:t>
      </w:r>
    </w:p>
    <w:p w14:paraId="32E4C022"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recusar-se a processar ou emitir documentos oficiais para assediar, intimidar e controlar as comunidades e suas ações</w:t>
      </w:r>
    </w:p>
    <w:p w14:paraId="0CABB963"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retirar ou ameaçar a retira</w:t>
      </w:r>
      <w:r>
        <w:rPr>
          <w:rFonts w:ascii="Acumin Pro" w:eastAsia="Acumin Pro" w:hAnsi="Acumin Pro" w:cs="Acumin Pro"/>
          <w:sz w:val="22"/>
          <w:szCs w:val="22"/>
        </w:rPr>
        <w:t>da de</w:t>
      </w:r>
      <w:r>
        <w:rPr>
          <w:rFonts w:ascii="Acumin Pro" w:eastAsia="Acumin Pro" w:hAnsi="Acumin Pro" w:cs="Acumin Pro"/>
          <w:color w:val="000000"/>
          <w:sz w:val="22"/>
          <w:szCs w:val="22"/>
        </w:rPr>
        <w:t xml:space="preserve"> vistos, passaportes ou outros documentos oficiais de pessoas na Nova Zelândia para assediar, intimidar e controlar comunidades e suas ações </w:t>
      </w:r>
    </w:p>
    <w:p w14:paraId="32F3C70F" w14:textId="704E236E" w:rsidR="00E16903" w:rsidRDefault="000C5C1E">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noProof/>
        </w:rPr>
        <w:drawing>
          <wp:anchor distT="0" distB="0" distL="0" distR="0" simplePos="0" relativeHeight="251662336" behindDoc="1" locked="0" layoutInCell="1" hidden="0" allowOverlap="1" wp14:anchorId="100A4509" wp14:editId="00B21B31">
            <wp:simplePos x="0" y="0"/>
            <wp:positionH relativeFrom="page">
              <wp:align>right</wp:align>
            </wp:positionH>
            <wp:positionV relativeFrom="paragraph">
              <wp:posOffset>726440</wp:posOffset>
            </wp:positionV>
            <wp:extent cx="7755255" cy="5115168"/>
            <wp:effectExtent l="0" t="0" r="0" b="0"/>
            <wp:wrapNone/>
            <wp:docPr id="1983189024" name="image3.png" descr="A group of people standing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oup of people standing together&#10;&#10;Description automatically generated"/>
                    <pic:cNvPicPr preferRelativeResize="0"/>
                  </pic:nvPicPr>
                  <pic:blipFill>
                    <a:blip r:embed="rId16"/>
                    <a:srcRect/>
                    <a:stretch>
                      <a:fillRect/>
                    </a:stretch>
                  </pic:blipFill>
                  <pic:spPr>
                    <a:xfrm>
                      <a:off x="0" y="0"/>
                      <a:ext cx="7755255" cy="5115168"/>
                    </a:xfrm>
                    <a:prstGeom prst="rect">
                      <a:avLst/>
                    </a:prstGeom>
                    <a:ln/>
                  </pic:spPr>
                </pic:pic>
              </a:graphicData>
            </a:graphic>
          </wp:anchor>
        </w:drawing>
      </w:r>
      <w:r w:rsidR="00000000">
        <w:rPr>
          <w:rFonts w:ascii="Acumin Pro" w:eastAsia="Acumin Pro" w:hAnsi="Acumin Pro" w:cs="Acumin Pro"/>
          <w:color w:val="000000"/>
          <w:sz w:val="22"/>
          <w:szCs w:val="22"/>
        </w:rPr>
        <w:t xml:space="preserve">ameaçar pessoas na Nova Zelândia ou suas famílias que vivem no exterior (incluindo ameaças e assédio por meio de redes sociais) </w:t>
      </w:r>
    </w:p>
    <w:p w14:paraId="4D2857DA" w14:textId="77777777" w:rsidR="00E16903" w:rsidRDefault="00000000">
      <w:pPr>
        <w:numPr>
          <w:ilvl w:val="0"/>
          <w:numId w:val="1"/>
        </w:numPr>
        <w:pBdr>
          <w:top w:val="nil"/>
          <w:left w:val="nil"/>
          <w:bottom w:val="nil"/>
          <w:right w:val="nil"/>
          <w:between w:val="nil"/>
        </w:pBdr>
        <w:spacing w:before="8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forçar as pessoas a regressarem ao seu país de origem contra a sua vontade</w:t>
      </w:r>
      <w:r>
        <w:rPr>
          <w:rFonts w:ascii="Acumin Pro" w:eastAsia="Acumin Pro" w:hAnsi="Acumin Pro" w:cs="Acumin Pro"/>
          <w:color w:val="000000"/>
          <w:sz w:val="22"/>
          <w:szCs w:val="22"/>
        </w:rPr>
        <w:br/>
      </w:r>
    </w:p>
    <w:p w14:paraId="1FBF1206"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br w:type="column"/>
      </w:r>
      <w:r>
        <w:rPr>
          <w:rFonts w:ascii="Acumin Pro" w:eastAsia="Acumin Pro" w:hAnsi="Acumin Pro" w:cs="Acumin Pro"/>
          <w:color w:val="000000"/>
          <w:sz w:val="22"/>
          <w:szCs w:val="22"/>
        </w:rPr>
        <w:t>vigilância e monitoramento não autorizados da comunidade por um estado estrangeiro para ameaçar ou intimidar pessoas</w:t>
      </w:r>
    </w:p>
    <w:p w14:paraId="00234321"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tentar impedir que certos grupos ou comunidades compartilhem abertamente seus pontos de vista ou opiniões diferentes dos do estado estrangeiro, usando ameaças ou intimidação</w:t>
      </w:r>
    </w:p>
    <w:p w14:paraId="63D2FF62"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tentar impedir que eventos aconteçam na Nova Zelândia para coibir as pessoas de expressarem suas opiniões ou crenças com as quais um estado estrangeiro discorde</w:t>
      </w:r>
    </w:p>
    <w:p w14:paraId="309C4DDD"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repassar ameaças de um estado estrangeiro para a comunidade na Nova Zelândia</w:t>
      </w:r>
    </w:p>
    <w:p w14:paraId="7763D16D" w14:textId="77777777" w:rsidR="00E16903" w:rsidRDefault="00000000">
      <w:pPr>
        <w:numPr>
          <w:ilvl w:val="0"/>
          <w:numId w:val="1"/>
        </w:numPr>
        <w:pBdr>
          <w:top w:val="nil"/>
          <w:left w:val="nil"/>
          <w:bottom w:val="nil"/>
          <w:right w:val="nil"/>
          <w:between w:val="nil"/>
        </w:pBdr>
        <w:spacing w:before="8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tentar mudar o funcionamento das eleições e outros processos democráticos</w:t>
      </w:r>
    </w:p>
    <w:p w14:paraId="4B664100" w14:textId="77777777" w:rsidR="00E16903" w:rsidRDefault="00E16903">
      <w:pPr>
        <w:keepLines w:val="0"/>
        <w:rPr>
          <w:rFonts w:ascii="Acumin Pro" w:eastAsia="Acumin Pro" w:hAnsi="Acumin Pro" w:cs="Acumin Pro"/>
          <w:sz w:val="22"/>
          <w:szCs w:val="22"/>
        </w:rPr>
      </w:pPr>
    </w:p>
    <w:sectPr w:rsidR="00E16903">
      <w:type w:val="continuous"/>
      <w:pgSz w:w="11907" w:h="16840"/>
      <w:pgMar w:top="1418" w:right="1418" w:bottom="992" w:left="1418" w:header="425" w:footer="635" w:gutter="0"/>
      <w:cols w:num="2" w:space="720" w:equalWidth="0">
        <w:col w:w="4181" w:space="708"/>
        <w:col w:w="418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7C569" w14:textId="77777777" w:rsidR="00527215" w:rsidRDefault="00527215">
      <w:pPr>
        <w:spacing w:before="0" w:after="0"/>
      </w:pPr>
      <w:r>
        <w:separator/>
      </w:r>
    </w:p>
  </w:endnote>
  <w:endnote w:type="continuationSeparator" w:id="0">
    <w:p w14:paraId="5B9C5E28" w14:textId="77777777" w:rsidR="00527215" w:rsidRDefault="0052721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6FA9238-FF4F-4D14-ADF5-4D81363E47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33AFFD4-47E3-4956-9E69-2907D7DB740B}"/>
    <w:embedBold r:id="rId3" w:fontKey="{87F67963-9291-4518-A0C3-C3DDEF6B3D59}"/>
    <w:embedItalic r:id="rId4" w:fontKey="{9D5A54FA-A16F-4181-99AF-73A357C2DC0A}"/>
    <w:embedBoldItalic r:id="rId5" w:fontKey="{BE98EC1D-9717-496C-BD22-F1943E74857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C66CB21-5484-4195-991F-2C4984C00A42}"/>
  </w:font>
  <w:font w:name="Consolas">
    <w:panose1 w:val="020B0609020204030204"/>
    <w:charset w:val="00"/>
    <w:family w:val="modern"/>
    <w:pitch w:val="fixed"/>
    <w:sig w:usb0="E00006FF" w:usb1="0000FCFF" w:usb2="00000001" w:usb3="00000000" w:csb0="0000019F" w:csb1="00000000"/>
    <w:embedRegular r:id="rId7" w:fontKey="{86F41628-C0BB-4FC6-881B-70F8CB868984}"/>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embedRegular r:id="rId8" w:fontKey="{F4C6B26E-71D4-4B30-B0B2-EE7736E564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A1092" w14:textId="77777777" w:rsidR="00E16903" w:rsidRDefault="00000000">
    <w:pPr>
      <w:rPr>
        <w:rFonts w:ascii="Acumin Pro" w:eastAsia="Acumin Pro" w:hAnsi="Acumin Pro" w:cs="Acumin Pro"/>
        <w:b/>
        <w:color w:val="000000"/>
        <w:sz w:val="18"/>
        <w:szCs w:val="18"/>
      </w:rPr>
    </w:pPr>
    <w:r>
      <w:rPr>
        <w:rFonts w:ascii="Acumin Pro" w:eastAsia="Acumin Pro" w:hAnsi="Acumin Pro" w:cs="Acumin Pro"/>
        <w:sz w:val="18"/>
        <w:szCs w:val="18"/>
      </w:rPr>
      <w:t xml:space="preserve">*Este conteúdo foi adaptado do </w:t>
    </w:r>
    <w:hyperlink r:id="rId1">
      <w:r w:rsidR="00E16903">
        <w:rPr>
          <w:rFonts w:ascii="Acumin Pro" w:eastAsia="Acumin Pro" w:hAnsi="Acumin Pro" w:cs="Acumin Pro"/>
          <w:b/>
          <w:color w:val="1F546B"/>
          <w:sz w:val="18"/>
          <w:szCs w:val="18"/>
          <w:u w:val="single"/>
        </w:rPr>
        <w:t xml:space="preserve">Relatório de 2024 do NZSIS: Ambientes de ameaças à segurança da Nova Zelândia </w:t>
      </w:r>
    </w:hyperlink>
    <w:r>
      <w:rPr>
        <w:rFonts w:ascii="Acumin Pro" w:eastAsia="Acumin Pro" w:hAnsi="Acumin Pro" w:cs="Acumin Pro"/>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09662" w14:textId="77777777" w:rsidR="00E16903" w:rsidRPr="00534A0F" w:rsidRDefault="00000000">
    <w:pPr>
      <w:rPr>
        <w:rFonts w:ascii="Acumin Pro" w:eastAsia="Acumin Pro" w:hAnsi="Acumin Pro" w:cs="Acumin Pro"/>
        <w:b/>
        <w:color w:val="000000"/>
        <w:sz w:val="17"/>
        <w:szCs w:val="17"/>
      </w:rPr>
    </w:pPr>
    <w:r w:rsidRPr="00534A0F">
      <w:rPr>
        <w:rFonts w:ascii="Acumin Pro" w:eastAsia="Acumin Pro" w:hAnsi="Acumin Pro" w:cs="Acumin Pro"/>
        <w:sz w:val="17"/>
        <w:szCs w:val="17"/>
      </w:rPr>
      <w:t xml:space="preserve">*Este conteúdo foi adaptado do </w:t>
    </w:r>
    <w:hyperlink r:id="rId1">
      <w:r w:rsidR="00E16903" w:rsidRPr="00534A0F">
        <w:rPr>
          <w:rFonts w:ascii="Acumin Pro" w:eastAsia="Acumin Pro" w:hAnsi="Acumin Pro" w:cs="Acumin Pro"/>
          <w:b/>
          <w:color w:val="1F546B"/>
          <w:sz w:val="17"/>
          <w:szCs w:val="17"/>
          <w:u w:val="single"/>
        </w:rPr>
        <w:t xml:space="preserve">Relatório de 2024 do NZSIS: Ambientes de ameaças à segurança da Nova Zelândia </w:t>
      </w:r>
    </w:hyperlink>
    <w:r w:rsidRPr="00534A0F">
      <w:rPr>
        <w:rFonts w:ascii="Acumin Pro" w:eastAsia="Acumin Pro" w:hAnsi="Acumin Pro" w:cs="Acumin Pro"/>
        <w:b/>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9F8F4" w14:textId="77777777" w:rsidR="00527215" w:rsidRDefault="00527215">
      <w:pPr>
        <w:spacing w:before="0" w:after="0"/>
      </w:pPr>
      <w:r>
        <w:separator/>
      </w:r>
    </w:p>
  </w:footnote>
  <w:footnote w:type="continuationSeparator" w:id="0">
    <w:p w14:paraId="528DBFF9" w14:textId="77777777" w:rsidR="00527215" w:rsidRDefault="0052721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C9BBB" w14:textId="77777777" w:rsidR="00E16903" w:rsidRDefault="00000000">
    <w:pPr>
      <w:pBdr>
        <w:top w:val="nil"/>
        <w:left w:val="nil"/>
        <w:bottom w:val="nil"/>
        <w:right w:val="nil"/>
        <w:between w:val="nil"/>
      </w:pBdr>
      <w:spacing w:before="40" w:after="40"/>
      <w:jc w:val="center"/>
      <w:rPr>
        <w:rFonts w:ascii="Acumin Pro" w:eastAsia="Acumin Pro" w:hAnsi="Acumin Pro" w:cs="Acumin Pro"/>
        <w:color w:val="808080"/>
        <w:sz w:val="20"/>
        <w:szCs w:val="20"/>
      </w:rPr>
    </w:pPr>
    <w:r>
      <w:rPr>
        <w:rFonts w:ascii="Acumin Pro" w:eastAsia="Acumin Pro" w:hAnsi="Acumin Pro" w:cs="Acumin Pro"/>
        <w:b/>
        <w:color w:val="808080"/>
        <w:sz w:val="20"/>
        <w:szCs w:val="20"/>
      </w:rPr>
      <w:t>A interferência estrangeira prejudica os direitos e a liberdade das pessoas na Nova Zelândia</w:t>
    </w:r>
    <w:r>
      <w:rPr>
        <w:rFonts w:ascii="Acumin Pro" w:eastAsia="Acumin Pro" w:hAnsi="Acumin Pro" w:cs="Acumin Pro"/>
        <w:color w:val="808080"/>
        <w:sz w:val="20"/>
        <w:szCs w:val="20"/>
      </w:rPr>
      <w:t xml:space="preserve"> </w:t>
    </w:r>
    <w:r>
      <w:rPr>
        <w:rFonts w:ascii="Acumin Pro" w:eastAsia="Acumin Pro" w:hAnsi="Acumin Pro" w:cs="Acumin Pro"/>
        <w:color w:val="808080"/>
        <w:sz w:val="20"/>
        <w:szCs w:val="20"/>
      </w:rPr>
      <w:br/>
      <w:t xml:space="preserve"> </w:t>
    </w:r>
    <w:r>
      <w:rPr>
        <w:rFonts w:ascii="Acumin Pro" w:eastAsia="Acumin Pro" w:hAnsi="Acumin Pro" w:cs="Acumin Pro"/>
        <w:color w:val="808080"/>
        <w:sz w:val="20"/>
        <w:szCs w:val="20"/>
      </w:rPr>
      <w:fldChar w:fldCharType="begin"/>
    </w:r>
    <w:r>
      <w:rPr>
        <w:rFonts w:ascii="Acumin Pro" w:eastAsia="Acumin Pro" w:hAnsi="Acumin Pro" w:cs="Acumin Pro"/>
        <w:color w:val="808080"/>
        <w:sz w:val="20"/>
        <w:szCs w:val="20"/>
      </w:rPr>
      <w:instrText>PAGE</w:instrText>
    </w:r>
    <w:r>
      <w:rPr>
        <w:rFonts w:ascii="Acumin Pro" w:eastAsia="Acumin Pro" w:hAnsi="Acumin Pro" w:cs="Acumin Pro"/>
        <w:color w:val="808080"/>
        <w:sz w:val="20"/>
        <w:szCs w:val="20"/>
      </w:rPr>
      <w:fldChar w:fldCharType="separate"/>
    </w:r>
    <w:r w:rsidR="00534A0F">
      <w:rPr>
        <w:rFonts w:ascii="Acumin Pro" w:eastAsia="Acumin Pro" w:hAnsi="Acumin Pro" w:cs="Acumin Pro"/>
        <w:noProof/>
        <w:color w:val="808080"/>
        <w:sz w:val="20"/>
        <w:szCs w:val="20"/>
      </w:rPr>
      <w:t>2</w:t>
    </w:r>
    <w:r>
      <w:rPr>
        <w:rFonts w:ascii="Acumin Pro" w:eastAsia="Acumin Pro" w:hAnsi="Acumin Pro" w:cs="Acumin Pro"/>
        <w:color w:val="808080"/>
        <w:sz w:val="20"/>
        <w:szCs w:val="20"/>
      </w:rPr>
      <w:fldChar w:fldCharType="end"/>
    </w:r>
  </w:p>
  <w:p w14:paraId="56DF5A61" w14:textId="77777777" w:rsidR="00E16903" w:rsidRDefault="00E16903">
    <w:pPr>
      <w:pBdr>
        <w:top w:val="nil"/>
        <w:left w:val="nil"/>
        <w:bottom w:val="nil"/>
        <w:right w:val="nil"/>
        <w:between w:val="nil"/>
      </w:pBdr>
      <w:spacing w:before="40" w:after="40"/>
      <w:jc w:val="center"/>
      <w:rPr>
        <w:rFonts w:ascii="Acumin Pro" w:eastAsia="Acumin Pro" w:hAnsi="Acumin Pro" w:cs="Acumin Pro"/>
        <w:b/>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1194E" w14:textId="77777777" w:rsidR="00E16903" w:rsidRDefault="00000000">
    <w:pPr>
      <w:pBdr>
        <w:top w:val="nil"/>
        <w:left w:val="nil"/>
        <w:bottom w:val="nil"/>
        <w:right w:val="nil"/>
        <w:between w:val="nil"/>
      </w:pBdr>
      <w:spacing w:before="40" w:after="40"/>
      <w:jc w:val="center"/>
      <w:rPr>
        <w:rFonts w:eastAsia="Calibri"/>
        <w:color w:val="808080"/>
        <w:sz w:val="22"/>
        <w:szCs w:val="22"/>
      </w:rPr>
    </w:pPr>
    <w:r>
      <w:rPr>
        <w:rFonts w:ascii="Acumin Pro" w:eastAsia="Acumin Pro" w:hAnsi="Acumin Pro" w:cs="Acumin Pro"/>
        <w:color w:val="808080"/>
        <w:sz w:val="20"/>
        <w:szCs w:val="20"/>
      </w:rPr>
      <w:br/>
      <w:t xml:space="preserve"> </w:t>
    </w:r>
    <w:r>
      <w:rPr>
        <w:rFonts w:ascii="Acumin Pro" w:eastAsia="Acumin Pro" w:hAnsi="Acumin Pro" w:cs="Acumin Pro"/>
        <w:color w:val="808080"/>
        <w:sz w:val="20"/>
        <w:szCs w:val="20"/>
      </w:rPr>
      <w:fldChar w:fldCharType="begin"/>
    </w:r>
    <w:r>
      <w:rPr>
        <w:rFonts w:ascii="Acumin Pro" w:eastAsia="Acumin Pro" w:hAnsi="Acumin Pro" w:cs="Acumin Pro"/>
        <w:color w:val="808080"/>
        <w:sz w:val="20"/>
        <w:szCs w:val="20"/>
      </w:rPr>
      <w:instrText>PAGE</w:instrText>
    </w:r>
    <w:r>
      <w:rPr>
        <w:rFonts w:ascii="Acumin Pro" w:eastAsia="Acumin Pro" w:hAnsi="Acumin Pro" w:cs="Acumin Pro"/>
        <w:color w:val="808080"/>
        <w:sz w:val="20"/>
        <w:szCs w:val="20"/>
      </w:rPr>
      <w:fldChar w:fldCharType="separate"/>
    </w:r>
    <w:r w:rsidR="00534A0F">
      <w:rPr>
        <w:rFonts w:ascii="Acumin Pro" w:eastAsia="Acumin Pro" w:hAnsi="Acumin Pro" w:cs="Acumin Pro"/>
        <w:noProof/>
        <w:color w:val="808080"/>
        <w:sz w:val="20"/>
        <w:szCs w:val="20"/>
      </w:rPr>
      <w:t>1</w:t>
    </w:r>
    <w:r>
      <w:rPr>
        <w:rFonts w:ascii="Acumin Pro" w:eastAsia="Acumin Pro" w:hAnsi="Acumin Pro" w:cs="Acumin Pro"/>
        <w:color w:val="80808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A66B80"/>
    <w:multiLevelType w:val="multilevel"/>
    <w:tmpl w:val="B05AFB4C"/>
    <w:lvl w:ilvl="0">
      <w:start w:val="1"/>
      <w:numFmt w:val="bullet"/>
      <w:pStyle w:val="ListBullet2"/>
      <w:lvlText w:val="●"/>
      <w:lvlJc w:val="left"/>
      <w:pPr>
        <w:ind w:left="720" w:hanging="360"/>
      </w:pPr>
      <w:rPr>
        <w:rFonts w:ascii="Noto Sans Symbols" w:eastAsia="Noto Sans Symbols" w:hAnsi="Noto Sans Symbols" w:cs="Noto Sans Symbols"/>
        <w:color w:val="00908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6B157F5"/>
    <w:multiLevelType w:val="multilevel"/>
    <w:tmpl w:val="4C40C5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numbered4"/>
      <w:lvlText w:val="%4."/>
      <w:lvlJc w:val="left"/>
      <w:pPr>
        <w:tabs>
          <w:tab w:val="num" w:pos="2880"/>
        </w:tabs>
        <w:ind w:left="2880" w:hanging="720"/>
      </w:pPr>
    </w:lvl>
    <w:lvl w:ilvl="4">
      <w:start w:val="1"/>
      <w:numFmt w:val="decimal"/>
      <w:pStyle w:val="BodyTextIndentLevel3"/>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42127333">
    <w:abstractNumId w:val="0"/>
  </w:num>
  <w:num w:numId="2" w16cid:durableId="625889390">
    <w:abstractNumId w:val="1"/>
  </w:num>
  <w:num w:numId="3" w16cid:durableId="11742289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39488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7103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26965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42424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18715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7229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5237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50505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0039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2211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9345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73728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9423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12962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82412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09885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65107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6511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903"/>
    <w:rsid w:val="000C5C1E"/>
    <w:rsid w:val="003A4BDB"/>
    <w:rsid w:val="00442322"/>
    <w:rsid w:val="00527215"/>
    <w:rsid w:val="00534A0F"/>
    <w:rsid w:val="008F6B20"/>
    <w:rsid w:val="00A076A4"/>
    <w:rsid w:val="00B60F24"/>
    <w:rsid w:val="00C41178"/>
    <w:rsid w:val="00E16903"/>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4122"/>
  <w15:docId w15:val="{614E44A5-7696-4C47-B1F4-9247F076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PT" w:eastAsia="en-GB" w:bidi="ar-SA"/>
      </w:rPr>
    </w:rPrDefault>
    <w:pPrDefault>
      <w:pPr>
        <w:keepLines/>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rPr>
      <w:rFonts w:eastAsiaTheme="minorHAnsi"/>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semiHidden/>
    <w:unhideWhenUsed/>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uiPriority w:val="9"/>
    <w:semiHidden/>
    <w:unhideWhenUsed/>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uiPriority w:val="9"/>
    <w:semiHidden/>
    <w:unhideWhenUsed/>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9"/>
    <w:semiHidden/>
    <w:unhideWhenUsed/>
    <w:qFormat/>
    <w:rsid w:val="00065F18"/>
    <w:pPr>
      <w:keepNext/>
      <w:spacing w:before="360"/>
      <w:outlineLvl w:val="4"/>
    </w:pPr>
    <w:rPr>
      <w:b/>
      <w:bCs/>
      <w:iCs/>
      <w:szCs w:val="26"/>
    </w:rPr>
  </w:style>
  <w:style w:type="paragraph" w:styleId="Heading6">
    <w:name w:val="heading 6"/>
    <w:basedOn w:val="Normal"/>
    <w:next w:val="Normal"/>
    <w:link w:val="Heading6Char"/>
    <w:uiPriority w:val="9"/>
    <w:semiHidden/>
    <w:unhideWhenUsed/>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065F18"/>
    <w:pPr>
      <w:contextualSpacing/>
      <w:jc w:val="right"/>
    </w:pPr>
    <w:rPr>
      <w:b/>
      <w:color w:val="1F546B"/>
      <w:sz w:val="80"/>
      <w:szCs w:val="80"/>
    </w:rPr>
  </w:style>
  <w:style w:type="numbering" w:styleId="111111">
    <w:name w:val="Outline List 2"/>
    <w:basedOn w:val="NoList"/>
    <w:semiHidden/>
    <w:rsid w:val="00065F18"/>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style>
  <w:style w:type="numbering" w:styleId="ArticleSection">
    <w:name w:val="Outline List 3"/>
    <w:basedOn w:val="NoList"/>
    <w:semiHidden/>
    <w:rsid w:val="00065F18"/>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tabs>
        <w:tab w:val="num" w:pos="720"/>
      </w:tabs>
      <w:ind w:left="720" w:hanging="720"/>
    </w:pPr>
  </w:style>
  <w:style w:type="paragraph" w:styleId="ListBullet4">
    <w:name w:val="List Bullet 4"/>
    <w:basedOn w:val="Normal"/>
    <w:uiPriority w:val="99"/>
    <w:semiHidden/>
    <w:rsid w:val="00065F18"/>
    <w:pPr>
      <w:tabs>
        <w:tab w:val="num" w:pos="720"/>
      </w:tabs>
      <w:ind w:left="720" w:hanging="720"/>
    </w:pPr>
  </w:style>
  <w:style w:type="paragraph" w:styleId="ListBullet5">
    <w:name w:val="List Bullet 5"/>
    <w:basedOn w:val="Normal"/>
    <w:uiPriority w:val="99"/>
    <w:semiHidden/>
    <w:rsid w:val="00065F18"/>
    <w:pPr>
      <w:tabs>
        <w:tab w:val="num" w:pos="720"/>
      </w:tabs>
      <w:ind w:left="720" w:hanging="720"/>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tabs>
        <w:tab w:val="num" w:pos="720"/>
      </w:tabs>
      <w:ind w:left="720" w:hanging="720"/>
    </w:pPr>
  </w:style>
  <w:style w:type="paragraph" w:styleId="ListNumber5">
    <w:name w:val="List Number 5"/>
    <w:basedOn w:val="Normal"/>
    <w:uiPriority w:val="99"/>
    <w:semiHidden/>
    <w:rsid w:val="00065F18"/>
    <w:pPr>
      <w:tabs>
        <w:tab w:val="num" w:pos="720"/>
      </w:tabs>
      <w:ind w:left="720" w:hanging="720"/>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pt-PT"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next w:val="Normal"/>
    <w:uiPriority w:val="11"/>
    <w:qFormat/>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tabs>
        <w:tab w:val="num" w:pos="720"/>
      </w:tabs>
      <w:ind w:left="720" w:hanging="720"/>
      <w:outlineLvl w:val="5"/>
    </w:pPr>
  </w:style>
  <w:style w:type="paragraph" w:customStyle="1" w:styleId="Headingnumbered2">
    <w:name w:val="Heading numbered 2"/>
    <w:basedOn w:val="Heading2"/>
    <w:next w:val="Normal"/>
    <w:uiPriority w:val="1"/>
    <w:semiHidden/>
    <w:rsid w:val="00AF60A0"/>
    <w:pPr>
      <w:tabs>
        <w:tab w:val="num" w:pos="1440"/>
      </w:tabs>
      <w:ind w:left="1440" w:hanging="720"/>
      <w:outlineLvl w:val="6"/>
    </w:pPr>
  </w:style>
  <w:style w:type="paragraph" w:customStyle="1" w:styleId="Headingnumbered3">
    <w:name w:val="Heading numbered 3"/>
    <w:basedOn w:val="Normal"/>
    <w:next w:val="Normal"/>
    <w:uiPriority w:val="1"/>
    <w:semiHidden/>
    <w:rsid w:val="00AF60A0"/>
    <w:pPr>
      <w:keepNext/>
      <w:tabs>
        <w:tab w:val="num" w:pos="2160"/>
      </w:tabs>
      <w:spacing w:before="360" w:after="120"/>
      <w:ind w:left="2160" w:hanging="7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tabs>
        <w:tab w:val="num" w:pos="2160"/>
      </w:tabs>
      <w:spacing w:after="120"/>
      <w:ind w:left="2160" w:hanging="720"/>
    </w:pPr>
  </w:style>
  <w:style w:type="paragraph" w:customStyle="1" w:styleId="Numberedpara1level4i">
    <w:name w:val="Numbered para (1) level 4 (i)"/>
    <w:basedOn w:val="Normal"/>
    <w:semiHidden/>
    <w:rsid w:val="00065F18"/>
    <w:pPr>
      <w:tabs>
        <w:tab w:val="num" w:pos="2880"/>
      </w:tabs>
      <w:spacing w:after="120"/>
      <w:ind w:left="2880" w:hanging="720"/>
    </w:pPr>
  </w:style>
  <w:style w:type="paragraph" w:customStyle="1" w:styleId="Bullet">
    <w:name w:val="Bullet"/>
    <w:basedOn w:val="Normal"/>
    <w:rsid w:val="0014565E"/>
    <w:pPr>
      <w:tabs>
        <w:tab w:val="num" w:pos="720"/>
      </w:tabs>
      <w:spacing w:before="80" w:after="80"/>
      <w:ind w:left="720" w:hanging="720"/>
    </w:pPr>
  </w:style>
  <w:style w:type="paragraph" w:customStyle="1" w:styleId="Bulletlevel2">
    <w:name w:val="Bullet level 2"/>
    <w:basedOn w:val="Normal"/>
    <w:uiPriority w:val="1"/>
    <w:semiHidden/>
    <w:rsid w:val="00065F18"/>
    <w:pPr>
      <w:tabs>
        <w:tab w:val="num" w:pos="1440"/>
      </w:tabs>
      <w:spacing w:before="80" w:after="80"/>
      <w:ind w:left="1440" w:hanging="720"/>
    </w:pPr>
  </w:style>
  <w:style w:type="paragraph" w:customStyle="1" w:styleId="Bulletlevel3">
    <w:name w:val="Bullet level 3"/>
    <w:basedOn w:val="Normal"/>
    <w:uiPriority w:val="1"/>
    <w:semiHidden/>
    <w:rsid w:val="00991620"/>
    <w:pPr>
      <w:tabs>
        <w:tab w:val="num" w:pos="2160"/>
      </w:tabs>
      <w:spacing w:before="80" w:after="80"/>
      <w:ind w:left="2160" w:hanging="72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tabs>
        <w:tab w:val="num" w:pos="720"/>
      </w:tabs>
      <w:spacing w:before="80" w:after="80"/>
      <w:ind w:left="720" w:hanging="720"/>
    </w:pPr>
  </w:style>
  <w:style w:type="paragraph" w:customStyle="1" w:styleId="List123">
    <w:name w:val="List 1 2 3"/>
    <w:basedOn w:val="Normal"/>
    <w:rsid w:val="00065F18"/>
    <w:pPr>
      <w:tabs>
        <w:tab w:val="num" w:pos="720"/>
      </w:tabs>
      <w:spacing w:before="80" w:after="80"/>
      <w:ind w:left="720" w:hanging="72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pt-PT"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tabs>
        <w:tab w:val="num" w:pos="720"/>
      </w:tabs>
      <w:ind w:left="720" w:hanging="720"/>
    </w:pPr>
  </w:style>
  <w:style w:type="paragraph" w:customStyle="1" w:styleId="Tablebulletlevel2">
    <w:name w:val="Table bullet level 2"/>
    <w:basedOn w:val="Tablenormal0"/>
    <w:uiPriority w:val="99"/>
    <w:semiHidden/>
    <w:rsid w:val="00065F18"/>
    <w:pPr>
      <w:tabs>
        <w:tab w:val="num" w:pos="1440"/>
      </w:tabs>
      <w:ind w:left="1440" w:hanging="720"/>
    </w:pPr>
  </w:style>
  <w:style w:type="paragraph" w:customStyle="1" w:styleId="TableBulletListLevel3">
    <w:name w:val="Table Bullet List Level 3"/>
    <w:basedOn w:val="BodyTextTable"/>
    <w:uiPriority w:val="11"/>
    <w:semiHidden/>
    <w:rsid w:val="00065F18"/>
    <w:pPr>
      <w:tabs>
        <w:tab w:val="num" w:pos="2160"/>
      </w:tabs>
      <w:spacing w:before="60" w:after="60"/>
      <w:ind w:left="2160" w:hanging="720"/>
    </w:pPr>
  </w:style>
  <w:style w:type="paragraph" w:customStyle="1" w:styleId="Tablelist123">
    <w:name w:val="Table list 1 2 3"/>
    <w:basedOn w:val="Tablenormal0"/>
    <w:rsid w:val="00065F18"/>
    <w:pPr>
      <w:tabs>
        <w:tab w:val="num" w:pos="720"/>
      </w:tabs>
      <w:ind w:left="720" w:hanging="720"/>
    </w:pPr>
  </w:style>
  <w:style w:type="paragraph" w:customStyle="1" w:styleId="Tablelist123level2">
    <w:name w:val="Table list 1 2 3 level 2"/>
    <w:basedOn w:val="Tablenormal0"/>
    <w:semiHidden/>
    <w:rsid w:val="00065F18"/>
    <w:pPr>
      <w:tabs>
        <w:tab w:val="num" w:pos="1440"/>
      </w:tabs>
      <w:ind w:left="1440" w:hanging="720"/>
    </w:pPr>
  </w:style>
  <w:style w:type="character" w:customStyle="1" w:styleId="Heading4Char">
    <w:name w:val="Heading 4 Char"/>
    <w:basedOn w:val="DefaultParagraphFont"/>
    <w:link w:val="Heading4"/>
    <w:rsid w:val="00065F18"/>
    <w:rPr>
      <w:rFonts w:eastAsiaTheme="minorHAnsi"/>
      <w:b/>
      <w:bCs/>
      <w:i/>
      <w:color w:val="1F546B" w:themeColor="text2"/>
      <w:szCs w:val="28"/>
      <w:lang w:val="pt-PT" w:eastAsia="en-US"/>
    </w:rPr>
  </w:style>
  <w:style w:type="paragraph" w:customStyle="1" w:styleId="BodyTextTableLevel1">
    <w:name w:val="Body Text Table Level 1"/>
    <w:basedOn w:val="BodyTextTable"/>
    <w:uiPriority w:val="11"/>
    <w:semiHidden/>
    <w:rsid w:val="00065F18"/>
    <w:pPr>
      <w:tabs>
        <w:tab w:val="num" w:pos="720"/>
      </w:tabs>
      <w:ind w:left="720" w:hanging="720"/>
    </w:pPr>
  </w:style>
  <w:style w:type="paragraph" w:customStyle="1" w:styleId="BodyTextTableLevel2">
    <w:name w:val="Body Text Table Level 2"/>
    <w:basedOn w:val="BodyTextTable"/>
    <w:uiPriority w:val="11"/>
    <w:semiHidden/>
    <w:rsid w:val="00065F18"/>
    <w:pPr>
      <w:tabs>
        <w:tab w:val="num" w:pos="1440"/>
      </w:tabs>
      <w:ind w:left="1440" w:hanging="720"/>
    </w:pPr>
  </w:style>
  <w:style w:type="paragraph" w:customStyle="1" w:styleId="BodyTextTableLevel3">
    <w:name w:val="Body Text Table Level 3"/>
    <w:basedOn w:val="BodyTextTable"/>
    <w:uiPriority w:val="11"/>
    <w:semiHidden/>
    <w:rsid w:val="00065F18"/>
    <w:pPr>
      <w:tabs>
        <w:tab w:val="num" w:pos="2880"/>
      </w:tabs>
      <w:ind w:left="2880" w:hanging="720"/>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tabs>
        <w:tab w:val="num" w:pos="720"/>
        <w:tab w:val="left" w:pos="2268"/>
      </w:tabs>
      <w:spacing w:before="0"/>
      <w:ind w:left="720" w:hanging="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tabs>
        <w:tab w:val="num" w:pos="1440"/>
      </w:tabs>
      <w:spacing w:before="80" w:after="80"/>
      <w:ind w:left="1440" w:hanging="72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pt-PT"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pt-PT"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pt-PT"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pt-PT"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pt-PT"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pt-PT" w:eastAsia="en-US"/>
    </w:rPr>
  </w:style>
  <w:style w:type="paragraph" w:customStyle="1" w:styleId="ListABClevel3">
    <w:name w:val="List A B C level 3"/>
    <w:basedOn w:val="Normal"/>
    <w:uiPriority w:val="1"/>
    <w:semiHidden/>
    <w:qFormat/>
    <w:rsid w:val="00065F18"/>
    <w:pPr>
      <w:tabs>
        <w:tab w:val="num" w:pos="2160"/>
      </w:tabs>
      <w:spacing w:before="80" w:after="80"/>
      <w:ind w:left="2160" w:hanging="720"/>
    </w:pPr>
  </w:style>
  <w:style w:type="paragraph" w:customStyle="1" w:styleId="List123level2">
    <w:name w:val="List 1 2 3 level 2"/>
    <w:basedOn w:val="Normal"/>
    <w:uiPriority w:val="1"/>
    <w:semiHidden/>
    <w:qFormat/>
    <w:rsid w:val="00FF3414"/>
    <w:pPr>
      <w:tabs>
        <w:tab w:val="num" w:pos="1440"/>
      </w:tabs>
      <w:spacing w:before="80" w:after="80"/>
      <w:ind w:left="1440" w:hanging="720"/>
    </w:pPr>
  </w:style>
  <w:style w:type="paragraph" w:customStyle="1" w:styleId="List123level3">
    <w:name w:val="List 1 2 3 level 3"/>
    <w:basedOn w:val="Normal"/>
    <w:uiPriority w:val="1"/>
    <w:semiHidden/>
    <w:qFormat/>
    <w:rsid w:val="00FF3414"/>
    <w:pPr>
      <w:tabs>
        <w:tab w:val="num" w:pos="2160"/>
      </w:tabs>
      <w:spacing w:before="80" w:after="80"/>
      <w:ind w:left="2160" w:hanging="720"/>
    </w:pPr>
  </w:style>
  <w:style w:type="paragraph" w:customStyle="1" w:styleId="Legislationsection">
    <w:name w:val="Legislation section"/>
    <w:basedOn w:val="Normal"/>
    <w:semiHidden/>
    <w:qFormat/>
    <w:rsid w:val="00ED4356"/>
    <w:pPr>
      <w:keepNext/>
      <w:tabs>
        <w:tab w:val="left" w:pos="567"/>
        <w:tab w:val="num" w:pos="720"/>
      </w:tabs>
      <w:spacing w:after="60"/>
      <w:ind w:left="720" w:hanging="720"/>
    </w:pPr>
    <w:rPr>
      <w:b/>
      <w:sz w:val="22"/>
    </w:rPr>
  </w:style>
  <w:style w:type="paragraph" w:customStyle="1" w:styleId="Legislationnumber">
    <w:name w:val="Legislation number"/>
    <w:basedOn w:val="Normal"/>
    <w:semiHidden/>
    <w:qFormat/>
    <w:rsid w:val="00054574"/>
    <w:pPr>
      <w:tabs>
        <w:tab w:val="left" w:pos="567"/>
        <w:tab w:val="num" w:pos="1440"/>
      </w:tabs>
      <w:spacing w:before="60" w:after="60"/>
      <w:ind w:left="1440" w:hanging="720"/>
    </w:pPr>
    <w:rPr>
      <w:sz w:val="22"/>
    </w:rPr>
  </w:style>
  <w:style w:type="paragraph" w:customStyle="1" w:styleId="Legislationa">
    <w:name w:val="Legislation (a)"/>
    <w:basedOn w:val="Normal"/>
    <w:semiHidden/>
    <w:qFormat/>
    <w:rsid w:val="00065F18"/>
    <w:pPr>
      <w:tabs>
        <w:tab w:val="num" w:pos="2160"/>
      </w:tabs>
      <w:spacing w:before="60" w:after="60"/>
      <w:ind w:left="2160" w:hanging="720"/>
    </w:pPr>
    <w:rPr>
      <w:sz w:val="22"/>
    </w:rPr>
  </w:style>
  <w:style w:type="paragraph" w:customStyle="1" w:styleId="Legislationi">
    <w:name w:val="Legislation (i)"/>
    <w:basedOn w:val="Normal"/>
    <w:semiHidden/>
    <w:qFormat/>
    <w:rsid w:val="00065F18"/>
    <w:pPr>
      <w:tabs>
        <w:tab w:val="num" w:pos="2880"/>
      </w:tabs>
      <w:spacing w:before="60" w:after="60"/>
      <w:ind w:left="2880" w:hanging="72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tabs>
        <w:tab w:val="num" w:pos="720"/>
      </w:tabs>
      <w:spacing w:after="120"/>
      <w:ind w:left="720" w:hanging="720"/>
    </w:pPr>
  </w:style>
  <w:style w:type="paragraph" w:customStyle="1" w:styleId="Numberedpara2level2a">
    <w:name w:val="Numbered para (2) level 2 (a)"/>
    <w:basedOn w:val="Normal"/>
    <w:semiHidden/>
    <w:qFormat/>
    <w:rsid w:val="00065F18"/>
    <w:pPr>
      <w:tabs>
        <w:tab w:val="num" w:pos="1440"/>
      </w:tabs>
      <w:spacing w:after="120"/>
      <w:ind w:left="1440" w:hanging="720"/>
    </w:pPr>
  </w:style>
  <w:style w:type="paragraph" w:customStyle="1" w:styleId="Numberedpara2level3i">
    <w:name w:val="Numbered para (2) level 3 (i)"/>
    <w:basedOn w:val="Normal"/>
    <w:semiHidden/>
    <w:qFormat/>
    <w:rsid w:val="00065F18"/>
    <w:pPr>
      <w:tabs>
        <w:tab w:val="num" w:pos="2160"/>
      </w:tabs>
      <w:spacing w:after="120"/>
      <w:ind w:left="2160" w:hanging="7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pt-PT" w:eastAsia="en-US"/>
    </w:rPr>
  </w:style>
  <w:style w:type="character" w:customStyle="1" w:styleId="FooterChar">
    <w:name w:val="Footer Char"/>
    <w:basedOn w:val="DefaultParagraphFont"/>
    <w:link w:val="Footer"/>
    <w:rsid w:val="00065F18"/>
    <w:rPr>
      <w:rFonts w:eastAsiaTheme="minorHAnsi"/>
      <w:i/>
      <w:sz w:val="20"/>
      <w:lang w:val="pt-PT"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tabs>
        <w:tab w:val="num" w:pos="1440"/>
      </w:tabs>
      <w:spacing w:after="120"/>
      <w:ind w:left="1440" w:hanging="720"/>
    </w:pPr>
  </w:style>
  <w:style w:type="paragraph" w:customStyle="1" w:styleId="Numberedpara11headingwithnumber">
    <w:name w:val="Numbered para (1) 1 (heading with number)"/>
    <w:basedOn w:val="Normal"/>
    <w:semiHidden/>
    <w:qFormat/>
    <w:rsid w:val="00ED4356"/>
    <w:pPr>
      <w:keepNext/>
      <w:tabs>
        <w:tab w:val="num" w:pos="720"/>
      </w:tabs>
      <w:spacing w:before="240" w:after="120"/>
      <w:ind w:left="720" w:hanging="7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tabs>
        <w:tab w:val="num" w:pos="720"/>
      </w:tabs>
      <w:spacing w:after="120"/>
      <w:ind w:left="720" w:hanging="720"/>
    </w:pPr>
  </w:style>
  <w:style w:type="paragraph" w:customStyle="1" w:styleId="Numberedpara3level211">
    <w:name w:val="Numbered para (3) level 2 (1.1)"/>
    <w:basedOn w:val="Normal"/>
    <w:semiHidden/>
    <w:qFormat/>
    <w:rsid w:val="004F2E8A"/>
    <w:pPr>
      <w:tabs>
        <w:tab w:val="num" w:pos="1440"/>
      </w:tabs>
      <w:spacing w:after="120"/>
      <w:ind w:left="1440" w:hanging="720"/>
    </w:pPr>
  </w:style>
  <w:style w:type="paragraph" w:customStyle="1" w:styleId="Numberedpara3level3111">
    <w:name w:val="Numbered para (3) level 3 (1.1.1)"/>
    <w:basedOn w:val="Normal"/>
    <w:semiHidden/>
    <w:qFormat/>
    <w:rsid w:val="004F2E8A"/>
    <w:pPr>
      <w:tabs>
        <w:tab w:val="num" w:pos="2160"/>
      </w:tabs>
      <w:spacing w:after="120"/>
      <w:ind w:left="2160" w:hanging="7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pt-PT"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pt-PT"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pt-PT"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pt-PT"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lMYKUN3zA9OpCvUt68OyW8VfAg==">CgMxLjA4AHIhMTV5WkQ1MzBuSDdCMFN1ZFpzazJVMkVzUHVFcHAwVWRY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2035</Characters>
  <Application>Microsoft Office Word</Application>
  <DocSecurity>0</DocSecurity>
  <Lines>16</Lines>
  <Paragraphs>4</Paragraphs>
  <ScaleCrop>false</ScaleCrop>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Rory McKenzie</cp:lastModifiedBy>
  <cp:revision>4</cp:revision>
  <cp:lastPrinted>2024-12-09T10:38:00Z</cp:lastPrinted>
  <dcterms:created xsi:type="dcterms:W3CDTF">2024-12-09T10:38:00Z</dcterms:created>
  <dcterms:modified xsi:type="dcterms:W3CDTF">2024-12-17T23:53:00Z</dcterms:modified>
</cp:coreProperties>
</file>