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C50B8EA"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Chính phủ đang sửa đổi luật để bảo vệ New</w:t>
      </w:r>
      <w:r w:rsidR="00C35644" w:rsidRPr="00C35644">
        <w:rPr>
          <w:rFonts w:ascii="Acumin Pro" w:hAnsi="Acumin Pro"/>
          <w:b/>
          <w:sz w:val="38"/>
        </w:rPr>
        <w:t> </w:t>
      </w:r>
      <w:r>
        <w:rPr>
          <w:rFonts w:ascii="Acumin Pro" w:hAnsi="Acumin Pro"/>
          <w:b/>
          <w:sz w:val="38"/>
        </w:rPr>
        <w:t xml:space="preserve">Zealand khỏi sự can thiệp của nước ngoài </w:t>
      </w:r>
    </w:p>
    <w:p w14:paraId="1EE3A517" w14:textId="3006247C"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Bạn có thể đóng góp ý kiến về sự sửa đổi này</w:t>
      </w:r>
      <w:r w:rsidR="006A3BD0" w:rsidRPr="006A3BD0">
        <w:rPr>
          <w:rFonts w:ascii="Acumin Pro" w:hAnsi="Acumin Pro"/>
          <w:b/>
          <w:bCs/>
          <w:sz w:val="28"/>
          <w:szCs w:val="28"/>
        </w:rPr>
        <w:br/>
      </w:r>
      <w:r>
        <w:rPr>
          <w:rFonts w:ascii="Acumin Pro" w:hAnsi="Acumin Pro"/>
          <w:sz w:val="28"/>
        </w:rPr>
        <w:t>Thông tin bên dưới giải thích Chính phủ đang làm gì và cách thức để bạn có thể tham gia.</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Chuyện gì đang xảy ra?</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Chính phủ đang củng cố luật hình sự để giúp Cảnh sát và các cơ quan khác ứng phó với sự can thiệp của nước ngoài.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Những thay đổi này được thực hiện thông qua </w:t>
      </w:r>
      <w:r w:rsidR="00170F21" w:rsidRPr="006A3BD0">
        <w:rPr>
          <w:rFonts w:ascii="Acumin Pro" w:hAnsi="Acumin Pro"/>
          <w:b/>
          <w:bCs/>
        </w:rPr>
        <w:t>Dự luật sửa đổi về Tội phạm (Chống can thiệp của nước ngoài)</w:t>
      </w:r>
      <w:r>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Dự luật đang được Ủy ban Lựa chọn Tư pháp của Quốc hội xem xét. Ủy ban sẽ đưa ra các khuyến nghị về cách cải thiện dự luật trước khi nó trở thành luật.</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Sự can thiệp của nước ngoài là gì?</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Sự can thiệp của nước ngoài là khi một chính phủ nước ngoài cố gắng can thiệp vào xã hội New Zealand theo cách bí mật, cưỡng bức hoặc không trung thực. Hoạt động này gây hại cho New Zealand và các cộng đồng của chúng ta.</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Sự can thiệp của nước ngoài có thể ảnh hưởng đến toàn bộ đất nước. Ví dụ, nó có thể ảnh hưởng đến an ninh quốc gia, nền kinh tế, các cuộc bầu cử của chúng ta hoặc các quyết định của chính phủ.</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Sự can thiệp cũng có thể ảnh hưởng đến các cá nhân và các cộng đồng. Các hoạt động can thiệp có thể làm cho mọi người cảm thấy không an toàn hoặc sợ không dám làm, không dám nói đến một số việc nào đó, vì chính phủ nước ngoài có thể làm gì đó với họ hoặc gia đình họ. Điều này là không chấp nhận được vì luật pháp của chúng ta trao cho mọi người quyền và tự do, và các chính phủ nước ngoài không nên cố gắng kiểm soát các hoạt động của người sống ở New Zealand.</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Luật đang được sửa đổi như thế nào?</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Sự can thiệp của nước ngoài từ bất kỳ quốc gia nào chống lại New Zealand là không thể chấp nhận được.</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Các tội danh mới sẽ cáo buộc sự can thiệp của nước ngoài và các hoạt động gây hại khác là hành vi bất hợp pháp. Đây sẽ là một trong những tội danh nghiêm trọng nhất ở New Zealand. Các tội danh hiện hành cũng đang được thay đổi để bảo vệ tốt hơn thông tin nhạy cảm của chính phủ.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Những thay đổi này có nghĩa là những người thực hiện các hoạt động gây hại giúp cho chính phủ nước ngoài có thể bị ngăn chặn và trừng phạt theo luật hình sự của chúng ta.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Tôi có thể đóng góp ý kiến của tôi bằng cách nào?</w:t>
      </w:r>
    </w:p>
    <w:p w14:paraId="74C54DBD" w14:textId="56530762"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Ủy ban Lựa chọn Tư pháp của Quốc hội đang kêu gọi công chúng góp ý cho Dự luật bằng cách "kêu gọi nộp đệ trình". Việc này diễn ra trong một số ngày nhất định khi Ủy ban đang xem xét Dự luật.</w:t>
      </w:r>
    </w:p>
    <w:p w14:paraId="5272AE17" w14:textId="77777777" w:rsidR="00F0172A" w:rsidRPr="00AC62AA" w:rsidRDefault="00B57313" w:rsidP="00F0172A">
      <w:r>
        <w:rPr>
          <w:rFonts w:ascii="Acumin Pro" w:hAnsi="Acumin Pro"/>
        </w:rPr>
        <w:t xml:space="preserve">Tìm hiểu thêm thông tin về Dự luật và cách thức nộp đệ trình tại trang: </w:t>
      </w:r>
      <w:hyperlink r:id="rId8" w:history="1">
        <w:r w:rsidR="00F0172A" w:rsidRPr="00F0172A">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Ủy ban thường công bố công khai các ý kiến đóng góp trên trang web của Quốc hội. Trước khi nộp đệ trình, bạn có thể yêu cầu Ủy ban giữ bí mật nội dung đệ trình của bạn, nếu bạn không muốn nó được công khai. Ủy ban sẽ cần phải đồng ý trước khi bạn gửi đệ trình của bạn. </w:t>
      </w:r>
    </w:p>
    <w:p w14:paraId="2F2A7DB3" w14:textId="77777777" w:rsidR="00F0172A" w:rsidRPr="002B6E8B" w:rsidRDefault="00410744" w:rsidP="00F0172A">
      <w:pPr>
        <w:keepLines/>
        <w:spacing w:before="120" w:after="240"/>
      </w:pPr>
      <w:r>
        <w:rPr>
          <w:rFonts w:ascii="Acumin Pro" w:hAnsi="Acumin Pro"/>
        </w:rPr>
        <w:t>Trang web của Bộ Tư pháp cũng có thông tin về sự can thiệp của nước ngoài, về Dự luật và cách bạn có thể trình báo sự can thiệp của nước ngoài cho các cơ quan Chính phủ. Có thể tìm thấy thông tin này trong phần “Chống lại sự can thiệp của nước ngoài” trên trang web các Sáng kiến chính của Bộ</w:t>
      </w:r>
      <w:r w:rsidR="008D32E7" w:rsidRPr="00F0172A">
        <w:rPr>
          <w:rFonts w:ascii="Acumin Pro" w:hAnsi="Acumin Pro"/>
        </w:rPr>
        <w:t>:</w:t>
      </w:r>
      <w:r w:rsidR="008D32E7" w:rsidRPr="008D32E7">
        <w:rPr>
          <w:rFonts w:ascii="Acumin Pro" w:hAnsi="Acumin Pro"/>
        </w:rPr>
        <w:t xml:space="preserve"> </w:t>
      </w:r>
      <w:hyperlink r:id="rId9" w:tgtFrame="_blank" w:history="1">
        <w:r w:rsidR="00F0172A" w:rsidRPr="00F0172A">
          <w:rPr>
            <w:rStyle w:val="Hyperlink"/>
            <w:rFonts w:asciiTheme="minorHAnsi" w:hAnsiTheme="minorHAnsi" w:cstheme="minorHAnsi"/>
          </w:rPr>
          <w:t>https://www.justice.govt.nz/justice-sector-policy/key-initiatives/countering-foreign-interference</w:t>
        </w:r>
      </w:hyperlink>
    </w:p>
    <w:p w14:paraId="715F6350" w14:textId="0C24F74D"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6685" w14:textId="77777777" w:rsidR="008B22A3" w:rsidRDefault="008B22A3" w:rsidP="00863861">
      <w:pPr>
        <w:spacing w:after="0" w:line="240" w:lineRule="auto"/>
      </w:pPr>
      <w:r>
        <w:separator/>
      </w:r>
    </w:p>
  </w:endnote>
  <w:endnote w:type="continuationSeparator" w:id="0">
    <w:p w14:paraId="065B3C5C" w14:textId="77777777" w:rsidR="008B22A3" w:rsidRDefault="008B22A3" w:rsidP="00863861">
      <w:pPr>
        <w:spacing w:after="0" w:line="240" w:lineRule="auto"/>
      </w:pPr>
      <w:r>
        <w:continuationSeparator/>
      </w:r>
    </w:p>
  </w:endnote>
  <w:endnote w:type="continuationNotice" w:id="1">
    <w:p w14:paraId="0015E65E" w14:textId="77777777" w:rsidR="008B22A3" w:rsidRDefault="008B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FEC6D" w14:textId="77777777" w:rsidR="008B22A3" w:rsidRDefault="008B22A3" w:rsidP="00863861">
      <w:pPr>
        <w:spacing w:after="0" w:line="240" w:lineRule="auto"/>
      </w:pPr>
      <w:r>
        <w:separator/>
      </w:r>
    </w:p>
  </w:footnote>
  <w:footnote w:type="continuationSeparator" w:id="0">
    <w:p w14:paraId="176098EB" w14:textId="77777777" w:rsidR="008B22A3" w:rsidRDefault="008B22A3" w:rsidP="00863861">
      <w:pPr>
        <w:spacing w:after="0" w:line="240" w:lineRule="auto"/>
      </w:pPr>
      <w:r>
        <w:continuationSeparator/>
      </w:r>
    </w:p>
  </w:footnote>
  <w:footnote w:type="continuationNotice" w:id="1">
    <w:p w14:paraId="2C85E350" w14:textId="77777777" w:rsidR="008B22A3" w:rsidRDefault="008B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vi-VN" w:eastAsia="en-US" w:bidi="ar-SA"/>
      </w:rPr>
    </w:lvl>
    <w:lvl w:ilvl="1" w:tplc="31D4FFE0">
      <w:numFmt w:val="bullet"/>
      <w:lvlText w:val="•"/>
      <w:lvlJc w:val="left"/>
      <w:pPr>
        <w:ind w:left="1427" w:hanging="540"/>
      </w:pPr>
      <w:rPr>
        <w:rFonts w:hint="default"/>
        <w:lang w:val="vi-VN" w:eastAsia="en-US" w:bidi="ar-SA"/>
      </w:rPr>
    </w:lvl>
    <w:lvl w:ilvl="2" w:tplc="E2A2FEFE">
      <w:numFmt w:val="bullet"/>
      <w:lvlText w:val="•"/>
      <w:lvlJc w:val="left"/>
      <w:pPr>
        <w:ind w:left="2214" w:hanging="540"/>
      </w:pPr>
      <w:rPr>
        <w:rFonts w:hint="default"/>
        <w:lang w:val="vi-VN" w:eastAsia="en-US" w:bidi="ar-SA"/>
      </w:rPr>
    </w:lvl>
    <w:lvl w:ilvl="3" w:tplc="FCBC61EC">
      <w:numFmt w:val="bullet"/>
      <w:lvlText w:val="•"/>
      <w:lvlJc w:val="left"/>
      <w:pPr>
        <w:ind w:left="3001" w:hanging="540"/>
      </w:pPr>
      <w:rPr>
        <w:rFonts w:hint="default"/>
        <w:lang w:val="vi-VN" w:eastAsia="en-US" w:bidi="ar-SA"/>
      </w:rPr>
    </w:lvl>
    <w:lvl w:ilvl="4" w:tplc="0A5A7D30">
      <w:numFmt w:val="bullet"/>
      <w:lvlText w:val="•"/>
      <w:lvlJc w:val="left"/>
      <w:pPr>
        <w:ind w:left="3788" w:hanging="540"/>
      </w:pPr>
      <w:rPr>
        <w:rFonts w:hint="default"/>
        <w:lang w:val="vi-VN" w:eastAsia="en-US" w:bidi="ar-SA"/>
      </w:rPr>
    </w:lvl>
    <w:lvl w:ilvl="5" w:tplc="17A2EA92">
      <w:numFmt w:val="bullet"/>
      <w:lvlText w:val="•"/>
      <w:lvlJc w:val="left"/>
      <w:pPr>
        <w:ind w:left="4576" w:hanging="540"/>
      </w:pPr>
      <w:rPr>
        <w:rFonts w:hint="default"/>
        <w:lang w:val="vi-VN" w:eastAsia="en-US" w:bidi="ar-SA"/>
      </w:rPr>
    </w:lvl>
    <w:lvl w:ilvl="6" w:tplc="8384BF18">
      <w:numFmt w:val="bullet"/>
      <w:lvlText w:val="•"/>
      <w:lvlJc w:val="left"/>
      <w:pPr>
        <w:ind w:left="5363" w:hanging="540"/>
      </w:pPr>
      <w:rPr>
        <w:rFonts w:hint="default"/>
        <w:lang w:val="vi-VN" w:eastAsia="en-US" w:bidi="ar-SA"/>
      </w:rPr>
    </w:lvl>
    <w:lvl w:ilvl="7" w:tplc="7FB267F8">
      <w:numFmt w:val="bullet"/>
      <w:lvlText w:val="•"/>
      <w:lvlJc w:val="left"/>
      <w:pPr>
        <w:ind w:left="6150" w:hanging="540"/>
      </w:pPr>
      <w:rPr>
        <w:rFonts w:hint="default"/>
        <w:lang w:val="vi-VN" w:eastAsia="en-US" w:bidi="ar-SA"/>
      </w:rPr>
    </w:lvl>
    <w:lvl w:ilvl="8" w:tplc="2F7E4560">
      <w:numFmt w:val="bullet"/>
      <w:lvlText w:val="•"/>
      <w:lvlJc w:val="left"/>
      <w:pPr>
        <w:ind w:left="6937" w:hanging="540"/>
      </w:pPr>
      <w:rPr>
        <w:rFonts w:hint="default"/>
        <w:lang w:val="vi-VN"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vi-VN"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vi-VN"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788546897">
    <w:abstractNumId w:val="11"/>
  </w:num>
  <w:num w:numId="2" w16cid:durableId="2143498969">
    <w:abstractNumId w:val="21"/>
  </w:num>
  <w:num w:numId="3" w16cid:durableId="419104326">
    <w:abstractNumId w:val="19"/>
  </w:num>
  <w:num w:numId="4" w16cid:durableId="912159538">
    <w:abstractNumId w:val="6"/>
  </w:num>
  <w:num w:numId="5" w16cid:durableId="216666262">
    <w:abstractNumId w:val="0"/>
  </w:num>
  <w:num w:numId="6" w16cid:durableId="1512910393">
    <w:abstractNumId w:val="14"/>
  </w:num>
  <w:num w:numId="7" w16cid:durableId="1327896735">
    <w:abstractNumId w:val="13"/>
  </w:num>
  <w:num w:numId="8" w16cid:durableId="2054189472">
    <w:abstractNumId w:val="9"/>
  </w:num>
  <w:num w:numId="9" w16cid:durableId="773595859">
    <w:abstractNumId w:val="8"/>
  </w:num>
  <w:num w:numId="10" w16cid:durableId="716780908">
    <w:abstractNumId w:val="5"/>
  </w:num>
  <w:num w:numId="11" w16cid:durableId="852303838">
    <w:abstractNumId w:val="16"/>
  </w:num>
  <w:num w:numId="12" w16cid:durableId="1882283679">
    <w:abstractNumId w:val="10"/>
  </w:num>
  <w:num w:numId="13" w16cid:durableId="1778865994">
    <w:abstractNumId w:val="20"/>
  </w:num>
  <w:num w:numId="14" w16cid:durableId="1118328426">
    <w:abstractNumId w:val="5"/>
    <w:lvlOverride w:ilvl="0">
      <w:startOverride w:val="1"/>
    </w:lvlOverride>
  </w:num>
  <w:num w:numId="15" w16cid:durableId="1891575429">
    <w:abstractNumId w:val="17"/>
  </w:num>
  <w:num w:numId="16" w16cid:durableId="820728949">
    <w:abstractNumId w:val="7"/>
  </w:num>
  <w:num w:numId="17" w16cid:durableId="332952304">
    <w:abstractNumId w:val="4"/>
  </w:num>
  <w:num w:numId="18" w16cid:durableId="824933324">
    <w:abstractNumId w:val="18"/>
  </w:num>
  <w:num w:numId="19" w16cid:durableId="1632056047">
    <w:abstractNumId w:val="2"/>
  </w:num>
  <w:num w:numId="20" w16cid:durableId="1820882809">
    <w:abstractNumId w:val="3"/>
  </w:num>
  <w:num w:numId="21" w16cid:durableId="931083693">
    <w:abstractNumId w:val="1"/>
  </w:num>
  <w:num w:numId="22" w16cid:durableId="1156649125">
    <w:abstractNumId w:val="15"/>
  </w:num>
  <w:num w:numId="23" w16cid:durableId="18701929">
    <w:abstractNumId w:val="12"/>
  </w:num>
  <w:num w:numId="24" w16cid:durableId="278537282">
    <w:abstractNumId w:val="0"/>
  </w:num>
  <w:num w:numId="25" w16cid:durableId="1521165368">
    <w:abstractNumId w:val="0"/>
  </w:num>
  <w:num w:numId="26" w16cid:durableId="1176503053">
    <w:abstractNumId w:val="0"/>
  </w:num>
  <w:num w:numId="27" w16cid:durableId="358822426">
    <w:abstractNumId w:val="0"/>
  </w:num>
  <w:num w:numId="28" w16cid:durableId="70392240">
    <w:abstractNumId w:val="0"/>
  </w:num>
  <w:num w:numId="29" w16cid:durableId="275872768">
    <w:abstractNumId w:val="0"/>
  </w:num>
  <w:num w:numId="30" w16cid:durableId="510266954">
    <w:abstractNumId w:val="0"/>
  </w:num>
  <w:num w:numId="31" w16cid:durableId="560944577">
    <w:abstractNumId w:val="0"/>
  </w:num>
  <w:num w:numId="32" w16cid:durableId="1914781388">
    <w:abstractNumId w:val="0"/>
  </w:num>
  <w:num w:numId="33" w16cid:durableId="1117718715">
    <w:abstractNumId w:val="0"/>
  </w:num>
  <w:num w:numId="34" w16cid:durableId="172911357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4A40"/>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17E0B"/>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36"/>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1829"/>
    <w:rsid w:val="0059213D"/>
    <w:rsid w:val="00592FEF"/>
    <w:rsid w:val="005931FB"/>
    <w:rsid w:val="00594500"/>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0F72"/>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5BE"/>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2A3"/>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2E7"/>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44"/>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72A"/>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ADB"/>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7BA9-45F0-FC45-B95E-03657FD9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2024-11-28T09:14:00Z</dcterms:created>
  <dcterms:modified xsi:type="dcterms:W3CDTF">2024-12-13T00:57:00Z</dcterms:modified>
</cp:coreProperties>
</file>